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25.xml" ContentType="application/vnd.openxmlformats-officedocument.drawingml.chart+xml"/>
  <Override PartName="/word/theme/themeOverride22.xml" ContentType="application/vnd.openxmlformats-officedocument.themeOverride+xml"/>
  <Override PartName="/word/charts/chart2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27.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3.xml" ContentType="application/vnd.openxmlformats-officedocument.themeOverride+xml"/>
  <Override PartName="/word/charts/chart28.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24.xml" ContentType="application/vnd.openxmlformats-officedocument.themeOverride+xml"/>
  <Override PartName="/word/charts/chart29.xml" ContentType="application/vnd.openxmlformats-officedocument.drawingml.chart+xml"/>
  <Override PartName="/word/theme/themeOverride25.xml" ContentType="application/vnd.openxmlformats-officedocument.themeOverride+xml"/>
  <Override PartName="/word/charts/chart30.xml" ContentType="application/vnd.openxmlformats-officedocument.drawingml.chart+xml"/>
  <Override PartName="/word/theme/themeOverride26.xml" ContentType="application/vnd.openxmlformats-officedocument.themeOverride+xml"/>
  <Override PartName="/word/charts/chart31.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7.xml" ContentType="application/vnd.openxmlformats-officedocument.themeOverride+xml"/>
  <Override PartName="/word/charts/chart32.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28.xml" ContentType="application/vnd.openxmlformats-officedocument.themeOverride+xml"/>
  <Override PartName="/word/charts/chart33.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29.xml" ContentType="application/vnd.openxmlformats-officedocument.themeOverride+xml"/>
  <Override PartName="/word/charts/chart34.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30.xml" ContentType="application/vnd.openxmlformats-officedocument.themeOverride+xml"/>
  <Override PartName="/word/charts/chart35.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31.xml" ContentType="application/vnd.openxmlformats-officedocument.themeOverride+xml"/>
  <Override PartName="/word/charts/chart36.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3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7C9421" w14:textId="2D6C8BC6" w:rsidR="00F86947" w:rsidRPr="00EE4685" w:rsidRDefault="003E1D2D" w:rsidP="00EE4685">
      <w:pPr>
        <w:pStyle w:val="Heading2"/>
        <w:numPr>
          <w:ilvl w:val="1"/>
          <w:numId w:val="43"/>
        </w:numPr>
        <w:tabs>
          <w:tab w:val="left" w:pos="567"/>
        </w:tabs>
        <w:spacing w:before="0"/>
        <w:ind w:left="0" w:firstLine="0"/>
        <w:rPr>
          <w:sz w:val="26"/>
          <w:szCs w:val="26"/>
        </w:rPr>
      </w:pPr>
      <w:bookmarkStart w:id="0" w:name="_Toc100315618"/>
      <w:bookmarkStart w:id="1" w:name="_Toc132204231"/>
      <w:r w:rsidRPr="00EE4685">
        <w:rPr>
          <w:sz w:val="26"/>
          <w:szCs w:val="26"/>
        </w:rPr>
        <w:t>Մակրոտնտեսական զարգացումներ</w:t>
      </w:r>
      <w:bookmarkEnd w:id="0"/>
      <w:bookmarkEnd w:id="1"/>
    </w:p>
    <w:p w14:paraId="5F7B7646" w14:textId="76E644C3" w:rsidR="002E5199" w:rsidRPr="00C228ED" w:rsidRDefault="002E5199" w:rsidP="00EE4685">
      <w:pPr>
        <w:pStyle w:val="Heading3"/>
        <w:keepLines/>
        <w:numPr>
          <w:ilvl w:val="2"/>
          <w:numId w:val="43"/>
        </w:numPr>
        <w:tabs>
          <w:tab w:val="left" w:pos="709"/>
        </w:tabs>
        <w:spacing w:before="0" w:line="259" w:lineRule="auto"/>
        <w:ind w:left="0" w:firstLine="0"/>
        <w:rPr>
          <w:rFonts w:ascii="GHEA Grapalat" w:eastAsiaTheme="majorEastAsia" w:hAnsi="GHEA Grapalat" w:cstheme="majorBidi"/>
          <w:i w:val="0"/>
          <w:noProof w:val="0"/>
          <w:sz w:val="24"/>
          <w:szCs w:val="24"/>
          <w:u w:val="none"/>
        </w:rPr>
      </w:pPr>
      <w:bookmarkStart w:id="2" w:name="_Toc100315619"/>
      <w:bookmarkStart w:id="3" w:name="_Toc132204232"/>
      <w:r w:rsidRPr="00C228ED">
        <w:rPr>
          <w:rFonts w:ascii="GHEA Grapalat" w:eastAsiaTheme="majorEastAsia" w:hAnsi="GHEA Grapalat" w:cstheme="majorBidi"/>
          <w:i w:val="0"/>
          <w:noProof w:val="0"/>
          <w:sz w:val="24"/>
          <w:szCs w:val="24"/>
          <w:u w:val="none"/>
        </w:rPr>
        <w:t>Արտաքին միջավայրի զարգացումներ</w:t>
      </w:r>
      <w:bookmarkEnd w:id="2"/>
      <w:bookmarkEnd w:id="3"/>
    </w:p>
    <w:p w14:paraId="0AE25A3B" w14:textId="77777777" w:rsidR="00F9235A" w:rsidRPr="00B260CD" w:rsidRDefault="00F9235A" w:rsidP="00F9235A">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Տնտեսական զարգացումներ</w:t>
      </w:r>
      <w:r w:rsidRPr="00345A1C">
        <w:rPr>
          <w:rFonts w:ascii="GHEA Grapalat" w:hAnsi="GHEA Grapalat"/>
          <w:b/>
          <w:i/>
          <w:sz w:val="22"/>
          <w:szCs w:val="22"/>
          <w:lang w:val="af-ZA"/>
        </w:rPr>
        <w:t>:</w:t>
      </w:r>
      <w:r w:rsidRPr="00345A1C">
        <w:rPr>
          <w:rFonts w:ascii="GHEA Grapalat" w:hAnsi="GHEA Grapalat"/>
          <w:sz w:val="22"/>
          <w:szCs w:val="22"/>
          <w:lang w:val="af-ZA"/>
        </w:rPr>
        <w:t xml:space="preserve"> </w:t>
      </w:r>
      <w:bookmarkStart w:id="4" w:name="_Toc102746160"/>
      <w:r w:rsidRPr="000935E1">
        <w:rPr>
          <w:rFonts w:ascii="GHEA Grapalat" w:hAnsi="GHEA Grapalat"/>
          <w:sz w:val="22"/>
          <w:szCs w:val="22"/>
          <w:lang w:val="af-ZA"/>
        </w:rPr>
        <w:t>202</w:t>
      </w:r>
      <w:r w:rsidRPr="000935E1">
        <w:rPr>
          <w:rFonts w:ascii="GHEA Grapalat" w:hAnsi="GHEA Grapalat"/>
          <w:sz w:val="22"/>
          <w:szCs w:val="22"/>
        </w:rPr>
        <w:t>6թ. առաջին կիսամյակում ՀՀ գործընկեր երկրների տնտեսական ակտիվության միտումները եղել են տարաբնույթ՝ արտացոլելով ինչպես ներքին պահանջարկի և ներդրումային ակտիվության տարբեր զարգացումները, այնպես էլ արտաքին և աշխարհաքաղաքական գործոնների ազդեցությունները: ԱՄՆ-ում և Չինաստանում պահպանվել են համեմատաբար բարձր աճի տեմպեր, մինչդեռ Եվրագոտում և Ռուսաստանի Դաշնությունում տնտեսական ակտիվությունն ավելի զուսպ է եղել։</w:t>
      </w:r>
    </w:p>
    <w:p w14:paraId="28AC3C89" w14:textId="2488B6B1" w:rsidR="00F9235A" w:rsidRDefault="00F9235A" w:rsidP="00F9235A">
      <w:pPr>
        <w:spacing w:line="276" w:lineRule="auto"/>
        <w:ind w:firstLine="567"/>
        <w:jc w:val="both"/>
        <w:rPr>
          <w:rFonts w:ascii="GHEA Grapalat" w:hAnsi="GHEA Grapalat"/>
          <w:sz w:val="22"/>
          <w:szCs w:val="22"/>
        </w:rPr>
      </w:pPr>
      <w:r w:rsidRPr="00DE7149">
        <w:rPr>
          <w:rFonts w:ascii="GHEA Grapalat" w:hAnsi="GHEA Grapalat"/>
          <w:sz w:val="22"/>
          <w:szCs w:val="22"/>
          <w:lang w:val="af-ZA"/>
        </w:rPr>
        <w:t>202</w:t>
      </w:r>
      <w:r w:rsidRPr="00DE7149">
        <w:rPr>
          <w:rFonts w:ascii="GHEA Grapalat" w:hAnsi="GHEA Grapalat"/>
          <w:sz w:val="22"/>
          <w:szCs w:val="22"/>
        </w:rPr>
        <w:t>6թ.</w:t>
      </w:r>
      <w:r w:rsidRPr="00DE7149">
        <w:rPr>
          <w:rFonts w:ascii="GHEA Grapalat" w:hAnsi="GHEA Grapalat"/>
          <w:sz w:val="22"/>
          <w:szCs w:val="22"/>
          <w:lang w:val="af-ZA"/>
        </w:rPr>
        <w:t xml:space="preserve"> </w:t>
      </w:r>
      <w:r w:rsidRPr="00DE7149">
        <w:rPr>
          <w:rFonts w:ascii="GHEA Grapalat" w:hAnsi="GHEA Grapalat"/>
          <w:sz w:val="22"/>
          <w:szCs w:val="22"/>
        </w:rPr>
        <w:t>առաջին կիսամյակում ԱՄՆ</w:t>
      </w:r>
      <w:r w:rsidRPr="00DE7149">
        <w:rPr>
          <w:rFonts w:ascii="GHEA Grapalat" w:hAnsi="GHEA Grapalat"/>
          <w:sz w:val="22"/>
          <w:szCs w:val="22"/>
          <w:lang w:val="af-ZA"/>
        </w:rPr>
        <w:t xml:space="preserve"> </w:t>
      </w:r>
      <w:r w:rsidRPr="00DE7149">
        <w:rPr>
          <w:rFonts w:ascii="GHEA Grapalat" w:hAnsi="GHEA Grapalat"/>
          <w:sz w:val="22"/>
          <w:szCs w:val="22"/>
        </w:rPr>
        <w:t>տնտեսությունը նախորդ տարվա համապատասխան ժամանակահատվածի նկատմամբ գրանցել</w:t>
      </w:r>
      <w:r w:rsidRPr="00DE7149">
        <w:rPr>
          <w:rFonts w:ascii="GHEA Grapalat" w:hAnsi="GHEA Grapalat"/>
          <w:sz w:val="22"/>
          <w:szCs w:val="22"/>
          <w:lang w:val="af-ZA"/>
        </w:rPr>
        <w:t xml:space="preserve"> </w:t>
      </w:r>
      <w:r w:rsidRPr="00DE7149">
        <w:rPr>
          <w:rFonts w:ascii="GHEA Grapalat" w:hAnsi="GHEA Grapalat"/>
          <w:sz w:val="22"/>
          <w:szCs w:val="22"/>
        </w:rPr>
        <w:t>է</w:t>
      </w:r>
      <w:r w:rsidRPr="00DE7149">
        <w:rPr>
          <w:rFonts w:ascii="GHEA Grapalat" w:hAnsi="GHEA Grapalat"/>
          <w:sz w:val="22"/>
          <w:szCs w:val="22"/>
          <w:lang w:val="af-ZA"/>
        </w:rPr>
        <w:t xml:space="preserve"> </w:t>
      </w:r>
      <w:r w:rsidRPr="00DE7149">
        <w:rPr>
          <w:rFonts w:ascii="GHEA Grapalat" w:hAnsi="GHEA Grapalat"/>
          <w:sz w:val="22"/>
          <w:szCs w:val="22"/>
        </w:rPr>
        <w:t xml:space="preserve">միջինում </w:t>
      </w:r>
      <w:r w:rsidRPr="00DE7149">
        <w:rPr>
          <w:rFonts w:ascii="GHEA Grapalat" w:hAnsi="GHEA Grapalat"/>
          <w:sz w:val="22"/>
          <w:szCs w:val="22"/>
          <w:lang w:val="af-ZA"/>
        </w:rPr>
        <w:t>2</w:t>
      </w:r>
      <w:r w:rsidRPr="00DE7149">
        <w:rPr>
          <w:rFonts w:ascii="GHEA Grapalat" w:hAnsi="GHEA Grapalat"/>
          <w:sz w:val="22"/>
          <w:szCs w:val="22"/>
        </w:rPr>
        <w:t>.4</w:t>
      </w:r>
      <w:r w:rsidRPr="00DE7149">
        <w:rPr>
          <w:rFonts w:ascii="GHEA Grapalat" w:hAnsi="GHEA Grapalat"/>
          <w:sz w:val="22"/>
          <w:szCs w:val="22"/>
          <w:lang w:val="af-ZA"/>
        </w:rPr>
        <w:t xml:space="preserve">% </w:t>
      </w:r>
      <w:r>
        <w:rPr>
          <w:rFonts w:ascii="GHEA Grapalat" w:hAnsi="GHEA Grapalat"/>
          <w:sz w:val="22"/>
          <w:szCs w:val="22"/>
        </w:rPr>
        <w:t>աճ</w:t>
      </w:r>
      <w:r w:rsidRPr="00DE7149">
        <w:rPr>
          <w:rFonts w:ascii="GHEA Grapalat" w:hAnsi="GHEA Grapalat"/>
          <w:sz w:val="22"/>
          <w:szCs w:val="22"/>
          <w:vertAlign w:val="superscript"/>
        </w:rPr>
        <w:footnoteReference w:id="1"/>
      </w:r>
      <w:r w:rsidRPr="00DE7149">
        <w:rPr>
          <w:rFonts w:ascii="GHEA Grapalat" w:hAnsi="GHEA Grapalat"/>
          <w:sz w:val="22"/>
          <w:szCs w:val="22"/>
        </w:rPr>
        <w:t xml:space="preserve">. </w:t>
      </w:r>
      <w:r>
        <w:rPr>
          <w:rFonts w:ascii="GHEA Grapalat" w:hAnsi="GHEA Grapalat"/>
          <w:sz w:val="22"/>
          <w:szCs w:val="22"/>
        </w:rPr>
        <w:t>առաջին եռամսյակում աճը կազմել է 2</w:t>
      </w:r>
      <w:r w:rsidRPr="00DE7149">
        <w:rPr>
          <w:rFonts w:ascii="GHEA Grapalat" w:hAnsi="GHEA Grapalat"/>
          <w:sz w:val="22"/>
          <w:szCs w:val="22"/>
        </w:rPr>
        <w:t>.7%</w:t>
      </w:r>
      <w:r>
        <w:rPr>
          <w:rFonts w:ascii="GHEA Grapalat" w:hAnsi="GHEA Grapalat"/>
          <w:sz w:val="22"/>
          <w:szCs w:val="22"/>
        </w:rPr>
        <w:t xml:space="preserve">, երկրորդ եռամսյակում՝ </w:t>
      </w:r>
      <w:r w:rsidRPr="00DE7149">
        <w:rPr>
          <w:rFonts w:ascii="GHEA Grapalat" w:hAnsi="GHEA Grapalat"/>
          <w:sz w:val="22"/>
          <w:szCs w:val="22"/>
        </w:rPr>
        <w:t>2.1%</w:t>
      </w:r>
      <w:r>
        <w:rPr>
          <w:rFonts w:ascii="GHEA Grapalat" w:hAnsi="GHEA Grapalat"/>
          <w:sz w:val="22"/>
          <w:szCs w:val="22"/>
        </w:rPr>
        <w:t>։ Եթե առաջին եռամսյակում ա</w:t>
      </w:r>
      <w:r w:rsidRPr="00DE7149">
        <w:rPr>
          <w:rFonts w:ascii="GHEA Grapalat" w:hAnsi="GHEA Grapalat"/>
          <w:sz w:val="22"/>
          <w:szCs w:val="22"/>
        </w:rPr>
        <w:t>ճի կայուն մակարդակը պահպանվել է արհեստական բանականության ոլորտում կատարված ներդրումների, մասնավոր և պետական սպառման, ինչպես նաև արտահանման աճերի հաշվին</w:t>
      </w:r>
      <w:r>
        <w:rPr>
          <w:rFonts w:ascii="GHEA Grapalat" w:hAnsi="GHEA Grapalat"/>
          <w:sz w:val="22"/>
          <w:szCs w:val="22"/>
        </w:rPr>
        <w:t>, ապա երկրորդ եռամսյակում աճը հիմնականում արտացոլել է սպառողական ծախսերի, ներդրումների և արտահանման աճը, որոնց ազդեցությանը մասամբ հակազդել է պետական սպառման նվազումը</w:t>
      </w:r>
      <w:r w:rsidR="00B85255">
        <w:rPr>
          <w:rFonts w:ascii="GHEA Grapalat" w:hAnsi="GHEA Grapalat"/>
          <w:sz w:val="22"/>
          <w:szCs w:val="22"/>
        </w:rPr>
        <w:t>:</w:t>
      </w:r>
    </w:p>
    <w:p w14:paraId="729B28F6" w14:textId="655BBB4B" w:rsidR="00F9235A" w:rsidRDefault="00F9235A" w:rsidP="00B85255">
      <w:pPr>
        <w:spacing w:line="276" w:lineRule="auto"/>
        <w:ind w:firstLine="567"/>
        <w:jc w:val="both"/>
        <w:rPr>
          <w:rFonts w:ascii="GHEA Grapalat" w:hAnsi="GHEA Grapalat"/>
          <w:sz w:val="22"/>
          <w:szCs w:val="22"/>
        </w:rPr>
      </w:pPr>
      <w:r w:rsidRPr="00DE7149">
        <w:rPr>
          <w:rFonts w:ascii="GHEA Grapalat" w:hAnsi="GHEA Grapalat"/>
          <w:sz w:val="22"/>
          <w:szCs w:val="22"/>
        </w:rPr>
        <w:t>Եվրագոտու</w:t>
      </w:r>
      <w:r w:rsidRPr="00DE7149">
        <w:rPr>
          <w:rFonts w:ascii="GHEA Grapalat" w:hAnsi="GHEA Grapalat"/>
          <w:sz w:val="22"/>
          <w:szCs w:val="22"/>
          <w:lang w:val="af-ZA"/>
        </w:rPr>
        <w:t xml:space="preserve"> </w:t>
      </w:r>
      <w:r w:rsidRPr="00DE7149">
        <w:rPr>
          <w:rFonts w:ascii="GHEA Grapalat" w:hAnsi="GHEA Grapalat"/>
          <w:sz w:val="22"/>
          <w:szCs w:val="22"/>
        </w:rPr>
        <w:t>տնտեսությունն</w:t>
      </w:r>
      <w:r w:rsidRPr="00DE7149">
        <w:rPr>
          <w:rFonts w:ascii="GHEA Grapalat" w:hAnsi="GHEA Grapalat"/>
          <w:sz w:val="22"/>
          <w:szCs w:val="22"/>
          <w:lang w:val="af-ZA"/>
        </w:rPr>
        <w:t xml:space="preserve"> </w:t>
      </w:r>
      <w:r w:rsidRPr="00DE7149">
        <w:rPr>
          <w:rFonts w:ascii="GHEA Grapalat" w:hAnsi="GHEA Grapalat"/>
          <w:sz w:val="22"/>
          <w:szCs w:val="22"/>
        </w:rPr>
        <w:t xml:space="preserve">ընթացիկ տարվա առաջին </w:t>
      </w:r>
      <w:r w:rsidR="00CD0E31">
        <w:rPr>
          <w:rFonts w:ascii="GHEA Grapalat" w:hAnsi="GHEA Grapalat"/>
          <w:sz w:val="22"/>
          <w:szCs w:val="22"/>
        </w:rPr>
        <w:t>կիսամյակում</w:t>
      </w:r>
      <w:r w:rsidR="00CD0E31" w:rsidRPr="00DE7149">
        <w:rPr>
          <w:rFonts w:ascii="GHEA Grapalat" w:hAnsi="GHEA Grapalat"/>
          <w:sz w:val="22"/>
          <w:szCs w:val="22"/>
        </w:rPr>
        <w:t xml:space="preserve"> </w:t>
      </w:r>
      <w:r w:rsidR="00805065">
        <w:rPr>
          <w:rFonts w:ascii="GHEA Grapalat" w:hAnsi="GHEA Grapalat"/>
          <w:sz w:val="22"/>
          <w:szCs w:val="22"/>
        </w:rPr>
        <w:t xml:space="preserve">միջինում </w:t>
      </w:r>
      <w:r w:rsidRPr="00DE7149">
        <w:rPr>
          <w:rFonts w:ascii="GHEA Grapalat" w:hAnsi="GHEA Grapalat"/>
          <w:sz w:val="22"/>
          <w:szCs w:val="22"/>
        </w:rPr>
        <w:t>գրանցել է 0.8</w:t>
      </w:r>
      <w:r w:rsidRPr="00DE7149">
        <w:rPr>
          <w:rFonts w:ascii="GHEA Grapalat" w:hAnsi="GHEA Grapalat"/>
          <w:sz w:val="22"/>
          <w:szCs w:val="22"/>
          <w:lang w:val="af-ZA"/>
        </w:rPr>
        <w:t>%</w:t>
      </w:r>
      <w:r w:rsidRPr="00DE7149">
        <w:rPr>
          <w:rFonts w:ascii="GHEA Grapalat" w:hAnsi="GHEA Grapalat"/>
          <w:sz w:val="22"/>
          <w:szCs w:val="22"/>
        </w:rPr>
        <w:t xml:space="preserve"> աճ</w:t>
      </w:r>
      <w:r w:rsidRPr="00DE7149">
        <w:rPr>
          <w:rFonts w:ascii="GHEA Grapalat" w:hAnsi="GHEA Grapalat"/>
          <w:sz w:val="22"/>
          <w:szCs w:val="22"/>
          <w:vertAlign w:val="superscript"/>
        </w:rPr>
        <w:footnoteReference w:id="2"/>
      </w:r>
      <w:r w:rsidRPr="00DE7149">
        <w:rPr>
          <w:rFonts w:ascii="GHEA Grapalat" w:hAnsi="GHEA Grapalat"/>
          <w:sz w:val="22"/>
          <w:szCs w:val="22"/>
        </w:rPr>
        <w:t xml:space="preserve">. առաջին եռամսյակում գրանցված 0.5% աճից հետո երկրորդ եռամսյակում </w:t>
      </w:r>
      <w:r>
        <w:rPr>
          <w:rFonts w:ascii="GHEA Grapalat" w:hAnsi="GHEA Grapalat"/>
          <w:sz w:val="22"/>
          <w:szCs w:val="22"/>
        </w:rPr>
        <w:t>տնտեսական աճն արագացել է՝ կազմելով</w:t>
      </w:r>
      <w:r w:rsidRPr="00DE7149">
        <w:rPr>
          <w:rFonts w:ascii="GHEA Grapalat" w:hAnsi="GHEA Grapalat"/>
          <w:sz w:val="22"/>
          <w:szCs w:val="22"/>
        </w:rPr>
        <w:t xml:space="preserve"> 1%</w:t>
      </w:r>
      <w:r>
        <w:rPr>
          <w:rFonts w:ascii="GHEA Grapalat" w:hAnsi="GHEA Grapalat"/>
          <w:sz w:val="22"/>
          <w:szCs w:val="22"/>
        </w:rPr>
        <w:t xml:space="preserve">։ Աճին նպաստել են </w:t>
      </w:r>
      <w:r w:rsidRPr="00DE7149">
        <w:rPr>
          <w:rFonts w:ascii="GHEA Grapalat" w:hAnsi="GHEA Grapalat"/>
          <w:sz w:val="22"/>
          <w:szCs w:val="22"/>
        </w:rPr>
        <w:t>արհեստական բանակ</w:t>
      </w:r>
      <w:r>
        <w:rPr>
          <w:rFonts w:ascii="GHEA Grapalat" w:hAnsi="GHEA Grapalat"/>
          <w:sz w:val="22"/>
          <w:szCs w:val="22"/>
        </w:rPr>
        <w:t>անության ոլորտում ներդրումները և կառավարության ծախսերը, որոնք որոշ չափով փոխհատուցե</w:t>
      </w:r>
      <w:r w:rsidR="00CD0E31">
        <w:rPr>
          <w:rFonts w:ascii="GHEA Grapalat" w:hAnsi="GHEA Grapalat"/>
          <w:sz w:val="22"/>
          <w:szCs w:val="22"/>
        </w:rPr>
        <w:t>լ</w:t>
      </w:r>
      <w:r>
        <w:rPr>
          <w:rFonts w:ascii="GHEA Grapalat" w:hAnsi="GHEA Grapalat"/>
          <w:sz w:val="22"/>
          <w:szCs w:val="22"/>
        </w:rPr>
        <w:t xml:space="preserve"> են առաջին եռամ</w:t>
      </w:r>
      <w:r w:rsidRPr="00DE7149">
        <w:rPr>
          <w:rFonts w:ascii="GHEA Grapalat" w:hAnsi="GHEA Grapalat"/>
          <w:sz w:val="22"/>
          <w:szCs w:val="22"/>
        </w:rPr>
        <w:t>սյակի թույլ միտ</w:t>
      </w:r>
      <w:r w:rsidR="00CD0E31">
        <w:rPr>
          <w:rFonts w:ascii="GHEA Grapalat" w:hAnsi="GHEA Grapalat"/>
          <w:sz w:val="22"/>
          <w:szCs w:val="22"/>
        </w:rPr>
        <w:t>ու</w:t>
      </w:r>
      <w:r w:rsidRPr="00DE7149">
        <w:rPr>
          <w:rFonts w:ascii="GHEA Grapalat" w:hAnsi="GHEA Grapalat"/>
          <w:sz w:val="22"/>
          <w:szCs w:val="22"/>
        </w:rPr>
        <w:t xml:space="preserve">մները և էներգակիրների բարձր գների </w:t>
      </w:r>
      <w:r>
        <w:rPr>
          <w:rFonts w:ascii="GHEA Grapalat" w:hAnsi="GHEA Grapalat"/>
          <w:sz w:val="22"/>
          <w:szCs w:val="22"/>
        </w:rPr>
        <w:t>բացասական ազդեցություն</w:t>
      </w:r>
      <w:r w:rsidRPr="00DE7149">
        <w:rPr>
          <w:rFonts w:ascii="GHEA Grapalat" w:hAnsi="GHEA Grapalat"/>
          <w:sz w:val="22"/>
          <w:szCs w:val="22"/>
        </w:rPr>
        <w:t>ը։</w:t>
      </w:r>
    </w:p>
    <w:p w14:paraId="0B2D1500" w14:textId="77777777" w:rsidR="00B85255" w:rsidRPr="00DE7149" w:rsidRDefault="00B85255" w:rsidP="00B85255">
      <w:pPr>
        <w:spacing w:line="276" w:lineRule="auto"/>
        <w:ind w:firstLine="567"/>
        <w:jc w:val="both"/>
        <w:rPr>
          <w:rFonts w:ascii="GHEA Grapalat" w:hAnsi="GHEA Grapalat"/>
          <w:color w:val="FF0000"/>
          <w:sz w:val="22"/>
          <w:szCs w:val="22"/>
        </w:rPr>
      </w:pPr>
    </w:p>
    <w:p w14:paraId="457F535D" w14:textId="77777777" w:rsidR="00F9235A" w:rsidRPr="005038F5" w:rsidRDefault="00F9235A" w:rsidP="006B6F92">
      <w:pPr>
        <w:pStyle w:val="ListParagraph"/>
        <w:keepNext/>
        <w:keepLines/>
        <w:numPr>
          <w:ilvl w:val="0"/>
          <w:numId w:val="42"/>
        </w:numPr>
        <w:tabs>
          <w:tab w:val="left" w:pos="0"/>
          <w:tab w:val="left" w:pos="284"/>
          <w:tab w:val="left" w:pos="1134"/>
          <w:tab w:val="left" w:pos="1276"/>
          <w:tab w:val="left" w:pos="1418"/>
          <w:tab w:val="left" w:pos="1888"/>
        </w:tabs>
        <w:autoSpaceDE w:val="0"/>
        <w:autoSpaceDN w:val="0"/>
        <w:adjustRightInd w:val="0"/>
        <w:spacing w:after="0"/>
        <w:ind w:left="0" w:firstLine="0"/>
        <w:rPr>
          <w:rFonts w:ascii="GHEA Grapalat" w:hAnsi="GHEA Grapalat" w:cs="Sylfaen"/>
          <w:b/>
          <w:sz w:val="18"/>
          <w:szCs w:val="18"/>
          <w:lang w:val="af-ZA"/>
        </w:rPr>
      </w:pPr>
      <w:r w:rsidRPr="000879D2">
        <w:rPr>
          <w:rFonts w:ascii="GHEA Grapalat" w:hAnsi="GHEA Grapalat" w:cs="Sylfaen"/>
          <w:b/>
          <w:sz w:val="18"/>
          <w:szCs w:val="18"/>
          <w:lang w:val="hy-AM"/>
        </w:rPr>
        <w:t>Գործընկեր</w:t>
      </w:r>
      <w:r w:rsidRPr="005038F5">
        <w:rPr>
          <w:rFonts w:ascii="GHEA Grapalat" w:hAnsi="GHEA Grapalat" w:cs="Sylfaen"/>
          <w:b/>
          <w:sz w:val="18"/>
          <w:szCs w:val="18"/>
          <w:lang w:val="af-ZA"/>
        </w:rPr>
        <w:t xml:space="preserve"> </w:t>
      </w:r>
      <w:r w:rsidRPr="000879D2">
        <w:rPr>
          <w:rFonts w:ascii="GHEA Grapalat" w:hAnsi="GHEA Grapalat" w:cs="Sylfaen"/>
          <w:b/>
          <w:sz w:val="18"/>
          <w:szCs w:val="18"/>
          <w:lang w:val="hy-AM"/>
        </w:rPr>
        <w:t>երկրների</w:t>
      </w:r>
      <w:r w:rsidRPr="005038F5">
        <w:rPr>
          <w:rFonts w:ascii="GHEA Grapalat" w:hAnsi="GHEA Grapalat" w:cs="Sylfaen"/>
          <w:b/>
          <w:sz w:val="18"/>
          <w:szCs w:val="18"/>
          <w:lang w:val="af-ZA"/>
        </w:rPr>
        <w:t xml:space="preserve"> </w:t>
      </w:r>
      <w:r w:rsidRPr="000879D2">
        <w:rPr>
          <w:rFonts w:ascii="GHEA Grapalat" w:hAnsi="GHEA Grapalat" w:cs="Sylfaen"/>
          <w:b/>
          <w:sz w:val="18"/>
          <w:szCs w:val="18"/>
          <w:lang w:val="hy-AM"/>
        </w:rPr>
        <w:t>տնտեսական</w:t>
      </w:r>
      <w:r w:rsidRPr="005038F5">
        <w:rPr>
          <w:rFonts w:ascii="GHEA Grapalat" w:hAnsi="GHEA Grapalat" w:cs="Sylfaen"/>
          <w:b/>
          <w:sz w:val="18"/>
          <w:szCs w:val="18"/>
          <w:lang w:val="af-ZA"/>
        </w:rPr>
        <w:t xml:space="preserve"> </w:t>
      </w:r>
      <w:r w:rsidRPr="000879D2">
        <w:rPr>
          <w:rFonts w:ascii="GHEA Grapalat" w:hAnsi="GHEA Grapalat" w:cs="Sylfaen"/>
          <w:b/>
          <w:sz w:val="18"/>
          <w:szCs w:val="18"/>
          <w:lang w:val="hy-AM"/>
        </w:rPr>
        <w:t>աճեր</w:t>
      </w:r>
      <w:r w:rsidRPr="005038F5">
        <w:rPr>
          <w:rFonts w:ascii="GHEA Grapalat" w:hAnsi="GHEA Grapalat" w:cs="Sylfaen"/>
          <w:b/>
          <w:sz w:val="18"/>
          <w:szCs w:val="18"/>
          <w:lang w:val="af-ZA"/>
        </w:rPr>
        <w:t xml:space="preserve">, </w:t>
      </w:r>
      <w:r>
        <w:rPr>
          <w:rFonts w:ascii="GHEA Grapalat" w:hAnsi="GHEA Grapalat" w:cs="Sylfaen"/>
          <w:b/>
          <w:sz w:val="18"/>
          <w:szCs w:val="18"/>
          <w:lang w:val="hy-AM"/>
        </w:rPr>
        <w:t>տ/տ</w:t>
      </w:r>
      <w:r w:rsidRPr="005038F5">
        <w:rPr>
          <w:rFonts w:ascii="GHEA Grapalat" w:hAnsi="GHEA Grapalat" w:cs="Sylfaen"/>
          <w:b/>
          <w:sz w:val="18"/>
          <w:szCs w:val="18"/>
          <w:lang w:val="af-ZA"/>
        </w:rPr>
        <w:t>,%</w:t>
      </w:r>
    </w:p>
    <w:p w14:paraId="40ADE323" w14:textId="77777777" w:rsidR="00F9235A" w:rsidRPr="00345A1C" w:rsidRDefault="00F9235A" w:rsidP="00F9235A">
      <w:pPr>
        <w:keepNext/>
        <w:keepLines/>
        <w:autoSpaceDE w:val="0"/>
        <w:autoSpaceDN w:val="0"/>
        <w:adjustRightInd w:val="0"/>
        <w:spacing w:line="276" w:lineRule="auto"/>
        <w:contextualSpacing/>
        <w:jc w:val="both"/>
        <w:rPr>
          <w:rFonts w:ascii="GHEA Grapalat" w:hAnsi="GHEA Grapalat" w:cs="Sylfaen"/>
          <w:sz w:val="22"/>
          <w:szCs w:val="22"/>
        </w:rPr>
      </w:pPr>
      <w:r w:rsidRPr="00921AF2">
        <w:rPr>
          <w:rFonts w:ascii="GHEA Grapalat" w:hAnsi="GHEA Grapalat" w:cs="Sylfaen"/>
          <w:sz w:val="22"/>
          <w:szCs w:val="22"/>
          <w:lang w:val="en-US"/>
        </w:rPr>
        <w:drawing>
          <wp:inline distT="0" distB="0" distL="0" distR="0" wp14:anchorId="1DCC63F3" wp14:editId="5ACED0BD">
            <wp:extent cx="6471920" cy="1860605"/>
            <wp:effectExtent l="0" t="0" r="5080" b="6350"/>
            <wp:docPr id="1"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9EF9313" w14:textId="77777777" w:rsidR="00F9235A" w:rsidRPr="00BC2C75" w:rsidRDefault="00F9235A" w:rsidP="00F9235A">
      <w:pPr>
        <w:rPr>
          <w:rFonts w:ascii="GHEA Grapalat" w:hAnsi="GHEA Grapalat"/>
          <w:i/>
          <w:sz w:val="16"/>
          <w:szCs w:val="16"/>
        </w:rPr>
      </w:pPr>
      <w:r w:rsidRPr="00BC2C75">
        <w:rPr>
          <w:rFonts w:ascii="GHEA Grapalat" w:hAnsi="GHEA Grapalat"/>
          <w:i/>
          <w:sz w:val="16"/>
          <w:szCs w:val="16"/>
        </w:rPr>
        <w:t xml:space="preserve">Աղբյուրը՝ ԱՄՆ տնտեսական վերլուծությունների բյուրո, Եվրոստատ, Չինաստանի վիճակագրության ազգային բյուրո, </w:t>
      </w:r>
    </w:p>
    <w:p w14:paraId="26EA262E" w14:textId="77777777" w:rsidR="00F9235A" w:rsidRPr="00BC2C75" w:rsidRDefault="00F9235A" w:rsidP="007759BC">
      <w:pPr>
        <w:rPr>
          <w:rFonts w:ascii="GHEA Grapalat" w:hAnsi="GHEA Grapalat"/>
          <w:i/>
          <w:sz w:val="16"/>
          <w:szCs w:val="16"/>
        </w:rPr>
      </w:pPr>
      <w:r w:rsidRPr="00BC2C75">
        <w:rPr>
          <w:rFonts w:ascii="GHEA Grapalat" w:hAnsi="GHEA Grapalat"/>
          <w:i/>
          <w:sz w:val="16"/>
          <w:szCs w:val="16"/>
        </w:rPr>
        <w:t>ՌԴ տնտեսական զարգացման նախարարություն</w:t>
      </w:r>
    </w:p>
    <w:p w14:paraId="093EAD0B" w14:textId="77777777" w:rsidR="007759BC" w:rsidRDefault="007759BC" w:rsidP="00F9235A">
      <w:pPr>
        <w:spacing w:line="276" w:lineRule="auto"/>
        <w:ind w:firstLine="567"/>
        <w:jc w:val="both"/>
        <w:rPr>
          <w:rFonts w:ascii="GHEA Grapalat" w:hAnsi="GHEA Grapalat"/>
          <w:sz w:val="22"/>
          <w:szCs w:val="22"/>
        </w:rPr>
      </w:pPr>
    </w:p>
    <w:p w14:paraId="7FC78A39" w14:textId="02D4741E" w:rsidR="00F9235A" w:rsidRDefault="00F9235A" w:rsidP="00F9235A">
      <w:pPr>
        <w:spacing w:line="276" w:lineRule="auto"/>
        <w:ind w:firstLine="567"/>
        <w:jc w:val="both"/>
        <w:rPr>
          <w:rFonts w:ascii="GHEA Grapalat" w:hAnsi="GHEA Grapalat"/>
          <w:sz w:val="22"/>
          <w:szCs w:val="22"/>
        </w:rPr>
      </w:pPr>
      <w:r w:rsidRPr="001B5F1D">
        <w:rPr>
          <w:rFonts w:ascii="GHEA Grapalat" w:hAnsi="GHEA Grapalat"/>
          <w:sz w:val="22"/>
          <w:szCs w:val="22"/>
        </w:rPr>
        <w:t>2026թ</w:t>
      </w:r>
      <w:r w:rsidRPr="00CD0E31">
        <w:rPr>
          <w:rFonts w:ascii="Cambria Math" w:hAnsi="Cambria Math" w:cs="Cambria Math"/>
          <w:sz w:val="22"/>
          <w:szCs w:val="22"/>
        </w:rPr>
        <w:t>․</w:t>
      </w:r>
      <w:r w:rsidRPr="00CD0E31">
        <w:rPr>
          <w:rFonts w:ascii="GHEA Grapalat" w:hAnsi="GHEA Grapalat"/>
          <w:sz w:val="22"/>
          <w:szCs w:val="22"/>
        </w:rPr>
        <w:t xml:space="preserve"> </w:t>
      </w:r>
      <w:r w:rsidRPr="00CD0E31">
        <w:rPr>
          <w:rFonts w:ascii="GHEA Grapalat" w:hAnsi="GHEA Grapalat" w:cs="GHEA Grapalat"/>
          <w:sz w:val="22"/>
          <w:szCs w:val="22"/>
        </w:rPr>
        <w:t>առաջին</w:t>
      </w:r>
      <w:r w:rsidRPr="00CD0E31">
        <w:rPr>
          <w:rFonts w:ascii="GHEA Grapalat" w:hAnsi="GHEA Grapalat"/>
          <w:sz w:val="22"/>
          <w:szCs w:val="22"/>
        </w:rPr>
        <w:t xml:space="preserve"> </w:t>
      </w:r>
      <w:r w:rsidRPr="00CD0E31">
        <w:rPr>
          <w:rFonts w:ascii="GHEA Grapalat" w:hAnsi="GHEA Grapalat" w:cs="GHEA Grapalat"/>
          <w:sz w:val="22"/>
          <w:szCs w:val="22"/>
        </w:rPr>
        <w:t>կիսամյակում</w:t>
      </w:r>
      <w:r w:rsidRPr="00CD0E31">
        <w:rPr>
          <w:rFonts w:ascii="GHEA Grapalat" w:hAnsi="GHEA Grapalat"/>
          <w:sz w:val="22"/>
          <w:szCs w:val="22"/>
        </w:rPr>
        <w:t xml:space="preserve"> </w:t>
      </w:r>
      <w:r w:rsidRPr="00CD0E31">
        <w:rPr>
          <w:rFonts w:ascii="GHEA Grapalat" w:hAnsi="GHEA Grapalat" w:cs="GHEA Grapalat"/>
          <w:sz w:val="22"/>
          <w:szCs w:val="22"/>
        </w:rPr>
        <w:t>Չինաստանում</w:t>
      </w:r>
      <w:r w:rsidRPr="00CD0E31">
        <w:rPr>
          <w:rFonts w:ascii="GHEA Grapalat" w:hAnsi="GHEA Grapalat"/>
          <w:sz w:val="22"/>
          <w:szCs w:val="22"/>
        </w:rPr>
        <w:t xml:space="preserve"> </w:t>
      </w:r>
      <w:r w:rsidRPr="00CD0E31">
        <w:rPr>
          <w:rFonts w:ascii="GHEA Grapalat" w:hAnsi="GHEA Grapalat" w:cs="GHEA Grapalat"/>
          <w:sz w:val="22"/>
          <w:szCs w:val="22"/>
        </w:rPr>
        <w:t>գրանցվել</w:t>
      </w:r>
      <w:r w:rsidRPr="00CD0E31">
        <w:rPr>
          <w:rFonts w:ascii="GHEA Grapalat" w:hAnsi="GHEA Grapalat"/>
          <w:sz w:val="22"/>
          <w:szCs w:val="22"/>
        </w:rPr>
        <w:t xml:space="preserve"> </w:t>
      </w:r>
      <w:r w:rsidRPr="00CD0E31">
        <w:rPr>
          <w:rFonts w:ascii="GHEA Grapalat" w:hAnsi="GHEA Grapalat" w:cs="GHEA Grapalat"/>
          <w:sz w:val="22"/>
          <w:szCs w:val="22"/>
        </w:rPr>
        <w:t>է</w:t>
      </w:r>
      <w:r w:rsidRPr="00CD0E31">
        <w:rPr>
          <w:rFonts w:ascii="GHEA Grapalat" w:hAnsi="GHEA Grapalat"/>
          <w:sz w:val="22"/>
          <w:szCs w:val="22"/>
        </w:rPr>
        <w:t xml:space="preserve"> </w:t>
      </w:r>
      <w:r w:rsidRPr="00CD0E31">
        <w:rPr>
          <w:rFonts w:ascii="GHEA Grapalat" w:hAnsi="GHEA Grapalat" w:cs="GHEA Grapalat"/>
          <w:sz w:val="22"/>
          <w:szCs w:val="22"/>
        </w:rPr>
        <w:t>միջինում</w:t>
      </w:r>
      <w:r w:rsidRPr="00CD0E31">
        <w:rPr>
          <w:rFonts w:ascii="GHEA Grapalat" w:hAnsi="GHEA Grapalat"/>
          <w:sz w:val="22"/>
          <w:szCs w:val="22"/>
        </w:rPr>
        <w:t xml:space="preserve"> 4.7% </w:t>
      </w:r>
      <w:r w:rsidR="00CD0E31">
        <w:rPr>
          <w:rFonts w:ascii="GHEA Grapalat" w:hAnsi="GHEA Grapalat"/>
          <w:sz w:val="22"/>
          <w:szCs w:val="22"/>
        </w:rPr>
        <w:t xml:space="preserve">տնտեսական </w:t>
      </w:r>
      <w:r w:rsidRPr="001B5F1D">
        <w:rPr>
          <w:rFonts w:ascii="GHEA Grapalat" w:hAnsi="GHEA Grapalat"/>
          <w:sz w:val="22"/>
          <w:szCs w:val="22"/>
        </w:rPr>
        <w:t>աճ</w:t>
      </w:r>
      <w:r w:rsidRPr="0049287E">
        <w:rPr>
          <w:rFonts w:ascii="GHEA Grapalat" w:hAnsi="GHEA Grapalat" w:cs="Cambria Math"/>
          <w:sz w:val="22"/>
          <w:szCs w:val="22"/>
        </w:rPr>
        <w:t>։ Ա</w:t>
      </w:r>
      <w:r w:rsidRPr="001B5F1D">
        <w:rPr>
          <w:rFonts w:ascii="GHEA Grapalat" w:hAnsi="GHEA Grapalat" w:cs="GHEA Grapalat"/>
          <w:sz w:val="22"/>
          <w:szCs w:val="22"/>
        </w:rPr>
        <w:t>ռաջին</w:t>
      </w:r>
      <w:r w:rsidRPr="00CD0E31">
        <w:rPr>
          <w:rFonts w:ascii="GHEA Grapalat" w:hAnsi="GHEA Grapalat"/>
          <w:sz w:val="22"/>
          <w:szCs w:val="22"/>
        </w:rPr>
        <w:t xml:space="preserve"> </w:t>
      </w:r>
      <w:r w:rsidRPr="00CD0E31">
        <w:rPr>
          <w:rFonts w:ascii="GHEA Grapalat" w:hAnsi="GHEA Grapalat" w:cs="GHEA Grapalat"/>
          <w:sz w:val="22"/>
          <w:szCs w:val="22"/>
        </w:rPr>
        <w:t>եռմասյակում</w:t>
      </w:r>
      <w:r w:rsidRPr="00CD0E31">
        <w:rPr>
          <w:rFonts w:ascii="GHEA Grapalat" w:hAnsi="GHEA Grapalat"/>
          <w:sz w:val="22"/>
          <w:szCs w:val="22"/>
        </w:rPr>
        <w:t xml:space="preserve"> տնտեսական աճը կազմել է 5%՝ պայմանավորված արդյունաբերական արտադրանքի և արտահանման աճ</w:t>
      </w:r>
      <w:r w:rsidR="00CD0E31">
        <w:rPr>
          <w:rFonts w:ascii="GHEA Grapalat" w:hAnsi="GHEA Grapalat"/>
          <w:sz w:val="22"/>
          <w:szCs w:val="22"/>
        </w:rPr>
        <w:t>եր</w:t>
      </w:r>
      <w:r w:rsidRPr="001B5F1D">
        <w:rPr>
          <w:rFonts w:ascii="GHEA Grapalat" w:hAnsi="GHEA Grapalat"/>
          <w:sz w:val="22"/>
          <w:szCs w:val="22"/>
        </w:rPr>
        <w:t>ով</w:t>
      </w:r>
      <w:r w:rsidRPr="00CD0E31">
        <w:rPr>
          <w:rFonts w:ascii="GHEA Grapalat" w:hAnsi="GHEA Grapalat"/>
          <w:sz w:val="22"/>
          <w:szCs w:val="22"/>
        </w:rPr>
        <w:t xml:space="preserve">, մինչդեռ երկրորդ եռամսյակում այն դանդաղել է՝ կազմելով 4.3%։ Դանդաղումը հիմնականում պայմանավորված է եղել ներքին պահանջարկի թուլացմամբ, </w:t>
      </w:r>
      <w:r w:rsidRPr="001B5F1D">
        <w:rPr>
          <w:rFonts w:ascii="GHEA Grapalat" w:hAnsi="GHEA Grapalat"/>
          <w:sz w:val="22"/>
          <w:szCs w:val="22"/>
        </w:rPr>
        <w:t>մասնավոր ներդրումների</w:t>
      </w:r>
      <w:r w:rsidRPr="00DE7149">
        <w:rPr>
          <w:rFonts w:ascii="GHEA Grapalat" w:hAnsi="GHEA Grapalat"/>
          <w:sz w:val="22"/>
          <w:szCs w:val="22"/>
        </w:rPr>
        <w:t xml:space="preserve"> նվազմամբ և </w:t>
      </w:r>
      <w:r>
        <w:rPr>
          <w:rFonts w:ascii="GHEA Grapalat" w:hAnsi="GHEA Grapalat"/>
          <w:sz w:val="22"/>
          <w:szCs w:val="22"/>
        </w:rPr>
        <w:t xml:space="preserve">անշարժ գույքի ոլորտում </w:t>
      </w:r>
      <w:r w:rsidR="001B5F1D">
        <w:rPr>
          <w:rFonts w:ascii="GHEA Grapalat" w:hAnsi="GHEA Grapalat"/>
          <w:sz w:val="22"/>
          <w:szCs w:val="22"/>
        </w:rPr>
        <w:t>շ</w:t>
      </w:r>
      <w:r>
        <w:rPr>
          <w:rFonts w:ascii="GHEA Grapalat" w:hAnsi="GHEA Grapalat"/>
          <w:sz w:val="22"/>
          <w:szCs w:val="22"/>
        </w:rPr>
        <w:t>արունակվող</w:t>
      </w:r>
      <w:r w:rsidRPr="00DE7149">
        <w:rPr>
          <w:rFonts w:ascii="GHEA Grapalat" w:hAnsi="GHEA Grapalat"/>
          <w:sz w:val="22"/>
          <w:szCs w:val="22"/>
        </w:rPr>
        <w:t xml:space="preserve"> անկմամբ, </w:t>
      </w:r>
      <w:r>
        <w:rPr>
          <w:rFonts w:ascii="GHEA Grapalat" w:hAnsi="GHEA Grapalat"/>
          <w:sz w:val="22"/>
          <w:szCs w:val="22"/>
        </w:rPr>
        <w:t>մինչդեռ</w:t>
      </w:r>
      <w:r w:rsidRPr="00DE7149">
        <w:rPr>
          <w:rFonts w:ascii="GHEA Grapalat" w:hAnsi="GHEA Grapalat"/>
          <w:sz w:val="22"/>
          <w:szCs w:val="22"/>
        </w:rPr>
        <w:t xml:space="preserve"> աճին նպաստել </w:t>
      </w:r>
      <w:r w:rsidR="00B43ABD">
        <w:rPr>
          <w:rFonts w:ascii="GHEA Grapalat" w:hAnsi="GHEA Grapalat"/>
          <w:sz w:val="22"/>
          <w:szCs w:val="22"/>
          <w:lang w:val="en-US"/>
        </w:rPr>
        <w:t>է</w:t>
      </w:r>
      <w:r>
        <w:rPr>
          <w:rFonts w:ascii="GHEA Grapalat" w:hAnsi="GHEA Grapalat"/>
          <w:sz w:val="22"/>
          <w:szCs w:val="22"/>
        </w:rPr>
        <w:t xml:space="preserve"> </w:t>
      </w:r>
      <w:r w:rsidRPr="00DE7149">
        <w:rPr>
          <w:rFonts w:ascii="GHEA Grapalat" w:hAnsi="GHEA Grapalat"/>
          <w:sz w:val="22"/>
          <w:szCs w:val="22"/>
        </w:rPr>
        <w:t>արհեստական բանականության ոլորտի հետ կա</w:t>
      </w:r>
      <w:r>
        <w:rPr>
          <w:rFonts w:ascii="GHEA Grapalat" w:hAnsi="GHEA Grapalat"/>
          <w:sz w:val="22"/>
          <w:szCs w:val="22"/>
        </w:rPr>
        <w:t>պված արտահանմ</w:t>
      </w:r>
      <w:r w:rsidR="001B5F1D">
        <w:rPr>
          <w:rFonts w:ascii="GHEA Grapalat" w:hAnsi="GHEA Grapalat"/>
          <w:sz w:val="22"/>
          <w:szCs w:val="22"/>
        </w:rPr>
        <w:t>ան աճը</w:t>
      </w:r>
      <w:r>
        <w:rPr>
          <w:rFonts w:ascii="GHEA Grapalat" w:hAnsi="GHEA Grapalat"/>
          <w:sz w:val="22"/>
          <w:szCs w:val="22"/>
        </w:rPr>
        <w:t>։</w:t>
      </w:r>
    </w:p>
    <w:p w14:paraId="250EB2E8" w14:textId="563B04AF" w:rsidR="00F9235A" w:rsidRDefault="00F9235A" w:rsidP="00F9235A">
      <w:pPr>
        <w:spacing w:line="276" w:lineRule="auto"/>
        <w:ind w:firstLine="567"/>
        <w:jc w:val="both"/>
        <w:rPr>
          <w:rFonts w:ascii="GHEA Grapalat" w:hAnsi="GHEA Grapalat"/>
          <w:sz w:val="22"/>
          <w:szCs w:val="22"/>
        </w:rPr>
      </w:pPr>
      <w:r w:rsidRPr="00DE7149">
        <w:rPr>
          <w:rFonts w:ascii="GHEA Grapalat" w:hAnsi="GHEA Grapalat"/>
          <w:sz w:val="22"/>
          <w:szCs w:val="22"/>
        </w:rPr>
        <w:lastRenderedPageBreak/>
        <w:t xml:space="preserve">Ռուսաստանի Դաշնությունում </w:t>
      </w:r>
      <w:r>
        <w:rPr>
          <w:rFonts w:ascii="GHEA Grapalat" w:hAnsi="GHEA Grapalat"/>
          <w:sz w:val="22"/>
          <w:szCs w:val="22"/>
        </w:rPr>
        <w:t>առաջին կիսամյակում</w:t>
      </w:r>
      <w:r w:rsidRPr="00DE7149">
        <w:rPr>
          <w:rFonts w:ascii="GHEA Grapalat" w:hAnsi="GHEA Grapalat"/>
          <w:sz w:val="22"/>
          <w:szCs w:val="22"/>
        </w:rPr>
        <w:t xml:space="preserve"> գրանցվել է 0.4% աճ</w:t>
      </w:r>
      <w:r w:rsidRPr="00DE7149">
        <w:rPr>
          <w:rFonts w:ascii="GHEA Grapalat" w:hAnsi="GHEA Grapalat"/>
          <w:sz w:val="22"/>
          <w:szCs w:val="22"/>
          <w:vertAlign w:val="superscript"/>
        </w:rPr>
        <w:footnoteReference w:id="3"/>
      </w:r>
      <w:r w:rsidR="00A2444E">
        <w:rPr>
          <w:rFonts w:ascii="GHEA Grapalat" w:hAnsi="GHEA Grapalat"/>
          <w:sz w:val="22"/>
          <w:szCs w:val="22"/>
          <w:lang w:val="en-US"/>
        </w:rPr>
        <w:t>,</w:t>
      </w:r>
      <w:r w:rsidRPr="00DE7149">
        <w:rPr>
          <w:rFonts w:ascii="GHEA Grapalat" w:hAnsi="GHEA Grapalat"/>
          <w:sz w:val="22"/>
          <w:szCs w:val="22"/>
        </w:rPr>
        <w:t xml:space="preserve"> ընդ որում</w:t>
      </w:r>
      <w:r w:rsidR="00A2444E">
        <w:rPr>
          <w:rFonts w:ascii="GHEA Grapalat" w:hAnsi="GHEA Grapalat"/>
          <w:sz w:val="22"/>
          <w:szCs w:val="22"/>
          <w:lang w:val="en-US"/>
        </w:rPr>
        <w:t>՝</w:t>
      </w:r>
      <w:r w:rsidRPr="00DE7149">
        <w:rPr>
          <w:rFonts w:ascii="GHEA Grapalat" w:hAnsi="GHEA Grapalat"/>
          <w:sz w:val="22"/>
          <w:szCs w:val="22"/>
        </w:rPr>
        <w:t xml:space="preserve"> առաջին եռամսյակում գրանցվել է 0.2% անկում, </w:t>
      </w:r>
      <w:r>
        <w:rPr>
          <w:rFonts w:ascii="GHEA Grapalat" w:hAnsi="GHEA Grapalat"/>
          <w:sz w:val="22"/>
          <w:szCs w:val="22"/>
        </w:rPr>
        <w:t>մինչդեռ ապրիլ-հունիս ամիսներին միջինում գրանցվել է</w:t>
      </w:r>
      <w:r w:rsidRPr="00DE7149">
        <w:rPr>
          <w:rFonts w:ascii="GHEA Grapalat" w:hAnsi="GHEA Grapalat"/>
          <w:sz w:val="22"/>
          <w:szCs w:val="22"/>
        </w:rPr>
        <w:t xml:space="preserve"> 0.9% աճ: Առաջին եռամսյակ</w:t>
      </w:r>
      <w:r>
        <w:rPr>
          <w:rFonts w:ascii="GHEA Grapalat" w:hAnsi="GHEA Grapalat"/>
          <w:sz w:val="22"/>
          <w:szCs w:val="22"/>
        </w:rPr>
        <w:t>ի</w:t>
      </w:r>
      <w:r w:rsidRPr="00DE7149">
        <w:rPr>
          <w:rFonts w:ascii="GHEA Grapalat" w:hAnsi="GHEA Grapalat"/>
          <w:sz w:val="22"/>
          <w:szCs w:val="22"/>
        </w:rPr>
        <w:t xml:space="preserve"> անկումը հիմնականու</w:t>
      </w:r>
      <w:r>
        <w:rPr>
          <w:rFonts w:ascii="GHEA Grapalat" w:hAnsi="GHEA Grapalat"/>
          <w:sz w:val="22"/>
          <w:szCs w:val="22"/>
        </w:rPr>
        <w:t>մ պայմանավորված է եղել հունվար</w:t>
      </w:r>
      <w:r w:rsidRPr="00DE7149">
        <w:rPr>
          <w:rFonts w:ascii="GHEA Grapalat" w:hAnsi="GHEA Grapalat"/>
          <w:sz w:val="22"/>
          <w:szCs w:val="22"/>
        </w:rPr>
        <w:t xml:space="preserve"> և փետրվար</w:t>
      </w:r>
      <w:r>
        <w:rPr>
          <w:rFonts w:ascii="GHEA Grapalat" w:hAnsi="GHEA Grapalat"/>
          <w:sz w:val="22"/>
          <w:szCs w:val="22"/>
        </w:rPr>
        <w:t xml:space="preserve"> ամիսներ</w:t>
      </w:r>
      <w:r w:rsidRPr="00DE7149">
        <w:rPr>
          <w:rFonts w:ascii="GHEA Grapalat" w:hAnsi="GHEA Grapalat"/>
          <w:sz w:val="22"/>
          <w:szCs w:val="22"/>
        </w:rPr>
        <w:t xml:space="preserve">ին մշակող արդյունաբերության և շինարարության </w:t>
      </w:r>
      <w:r>
        <w:rPr>
          <w:rFonts w:ascii="GHEA Grapalat" w:hAnsi="GHEA Grapalat"/>
          <w:sz w:val="22"/>
          <w:szCs w:val="22"/>
        </w:rPr>
        <w:t>ոլորտներում արձանագրված</w:t>
      </w:r>
      <w:r w:rsidRPr="00DE7149">
        <w:rPr>
          <w:rFonts w:ascii="GHEA Grapalat" w:hAnsi="GHEA Grapalat"/>
          <w:sz w:val="22"/>
          <w:szCs w:val="22"/>
        </w:rPr>
        <w:t xml:space="preserve"> անկմամբ</w:t>
      </w:r>
      <w:r>
        <w:rPr>
          <w:rFonts w:ascii="GHEA Grapalat" w:hAnsi="GHEA Grapalat"/>
          <w:sz w:val="22"/>
          <w:szCs w:val="22"/>
        </w:rPr>
        <w:t>, ինչպես նա</w:t>
      </w:r>
      <w:r w:rsidRPr="00DE7149">
        <w:rPr>
          <w:rFonts w:ascii="GHEA Grapalat" w:hAnsi="GHEA Grapalat"/>
          <w:sz w:val="22"/>
          <w:szCs w:val="22"/>
        </w:rPr>
        <w:t>և սպառողական պահանջարկ</w:t>
      </w:r>
      <w:r>
        <w:rPr>
          <w:rFonts w:ascii="GHEA Grapalat" w:hAnsi="GHEA Grapalat"/>
          <w:sz w:val="22"/>
          <w:szCs w:val="22"/>
        </w:rPr>
        <w:t>ի թուլացմամբ։ Ե</w:t>
      </w:r>
      <w:r w:rsidRPr="00DE7149">
        <w:rPr>
          <w:rFonts w:ascii="GHEA Grapalat" w:hAnsi="GHEA Grapalat"/>
          <w:sz w:val="22"/>
          <w:szCs w:val="22"/>
        </w:rPr>
        <w:t xml:space="preserve">րկրորդ եռամսյակում </w:t>
      </w:r>
      <w:r>
        <w:rPr>
          <w:rFonts w:ascii="GHEA Grapalat" w:hAnsi="GHEA Grapalat"/>
          <w:sz w:val="22"/>
          <w:szCs w:val="22"/>
        </w:rPr>
        <w:t>տնտեսական ակտիվության վերականգնմանը</w:t>
      </w:r>
      <w:r w:rsidRPr="00DE7149">
        <w:rPr>
          <w:rFonts w:ascii="GHEA Grapalat" w:hAnsi="GHEA Grapalat"/>
          <w:sz w:val="22"/>
          <w:szCs w:val="22"/>
        </w:rPr>
        <w:t xml:space="preserve"> նպաստել են արդյունաբերության և առևտրի աճը, ինչպես նաև շինարարության ոլորտ</w:t>
      </w:r>
      <w:r>
        <w:rPr>
          <w:rFonts w:ascii="GHEA Grapalat" w:hAnsi="GHEA Grapalat"/>
          <w:sz w:val="22"/>
          <w:szCs w:val="22"/>
        </w:rPr>
        <w:t>ում</w:t>
      </w:r>
      <w:r w:rsidR="001B5F1D">
        <w:rPr>
          <w:rFonts w:ascii="GHEA Grapalat" w:hAnsi="GHEA Grapalat"/>
          <w:sz w:val="22"/>
          <w:szCs w:val="22"/>
        </w:rPr>
        <w:t xml:space="preserve"> </w:t>
      </w:r>
      <w:r w:rsidRPr="00DE7149">
        <w:rPr>
          <w:rFonts w:ascii="GHEA Grapalat" w:hAnsi="GHEA Grapalat"/>
          <w:sz w:val="22"/>
          <w:szCs w:val="22"/>
        </w:rPr>
        <w:t xml:space="preserve">անկման տեմպի թուլացումը։ </w:t>
      </w:r>
    </w:p>
    <w:p w14:paraId="3FF22E0C" w14:textId="7B6224E0" w:rsidR="00F9235A" w:rsidRDefault="00F9235A" w:rsidP="00F9235A">
      <w:pPr>
        <w:spacing w:line="276" w:lineRule="auto"/>
        <w:ind w:firstLine="567"/>
        <w:jc w:val="both"/>
        <w:rPr>
          <w:rFonts w:ascii="GHEA Grapalat" w:hAnsi="GHEA Grapalat"/>
          <w:sz w:val="22"/>
          <w:szCs w:val="22"/>
        </w:rPr>
      </w:pPr>
      <w:r w:rsidRPr="0097377F">
        <w:rPr>
          <w:rFonts w:ascii="GHEA Grapalat" w:hAnsi="GHEA Grapalat"/>
          <w:sz w:val="22"/>
          <w:szCs w:val="22"/>
        </w:rPr>
        <w:t xml:space="preserve">Փետրվարից </w:t>
      </w:r>
      <w:r w:rsidR="00805065">
        <w:rPr>
          <w:rFonts w:ascii="GHEA Grapalat" w:hAnsi="GHEA Grapalat"/>
          <w:sz w:val="22"/>
          <w:szCs w:val="22"/>
        </w:rPr>
        <w:t xml:space="preserve">Մերձավոր Արևելքում </w:t>
      </w:r>
      <w:r w:rsidRPr="0097377F">
        <w:rPr>
          <w:rFonts w:ascii="GHEA Grapalat" w:hAnsi="GHEA Grapalat"/>
          <w:sz w:val="22"/>
          <w:szCs w:val="22"/>
        </w:rPr>
        <w:t>սկիզբ առած</w:t>
      </w:r>
      <w:r w:rsidR="00805065">
        <w:rPr>
          <w:rFonts w:ascii="GHEA Grapalat" w:hAnsi="GHEA Grapalat"/>
          <w:sz w:val="22"/>
          <w:szCs w:val="22"/>
        </w:rPr>
        <w:t xml:space="preserve"> </w:t>
      </w:r>
      <w:r w:rsidRPr="0097377F">
        <w:rPr>
          <w:rFonts w:ascii="GHEA Grapalat" w:hAnsi="GHEA Grapalat"/>
          <w:sz w:val="22"/>
          <w:szCs w:val="22"/>
        </w:rPr>
        <w:t xml:space="preserve">հակամարտությունը և դրա հետևանքով էներգակիրների գների աճը </w:t>
      </w:r>
      <w:r>
        <w:rPr>
          <w:rFonts w:ascii="GHEA Grapalat" w:hAnsi="GHEA Grapalat"/>
          <w:sz w:val="22"/>
          <w:szCs w:val="22"/>
        </w:rPr>
        <w:t>հանգեցրել են գնաճի արագացման</w:t>
      </w:r>
      <w:r w:rsidRPr="0097377F">
        <w:rPr>
          <w:rFonts w:ascii="GHEA Grapalat" w:hAnsi="GHEA Grapalat"/>
          <w:sz w:val="22"/>
          <w:szCs w:val="22"/>
        </w:rPr>
        <w:t xml:space="preserve"> ԱՄՆ-ում և Եվրագոտում։ Այս </w:t>
      </w:r>
      <w:r>
        <w:rPr>
          <w:rFonts w:ascii="GHEA Grapalat" w:hAnsi="GHEA Grapalat"/>
          <w:sz w:val="22"/>
          <w:szCs w:val="22"/>
        </w:rPr>
        <w:t>զարգացումներին</w:t>
      </w:r>
      <w:r w:rsidRPr="0097377F">
        <w:rPr>
          <w:rFonts w:ascii="GHEA Grapalat" w:hAnsi="GHEA Grapalat"/>
          <w:sz w:val="22"/>
          <w:szCs w:val="22"/>
        </w:rPr>
        <w:t xml:space="preserve"> զուգահեռ</w:t>
      </w:r>
      <w:r>
        <w:rPr>
          <w:rFonts w:ascii="GHEA Grapalat" w:hAnsi="GHEA Grapalat"/>
          <w:sz w:val="22"/>
          <w:szCs w:val="22"/>
        </w:rPr>
        <w:t>՝ ԱՄՆ Դ</w:t>
      </w:r>
      <w:r w:rsidRPr="0097377F">
        <w:rPr>
          <w:rFonts w:ascii="GHEA Grapalat" w:hAnsi="GHEA Grapalat"/>
          <w:sz w:val="22"/>
          <w:szCs w:val="22"/>
        </w:rPr>
        <w:t xml:space="preserve">աշնային պահուստային համակարգը և Եվրոպական կենտրոնական բանկը պահպանել են </w:t>
      </w:r>
      <w:r>
        <w:rPr>
          <w:rFonts w:ascii="GHEA Grapalat" w:hAnsi="GHEA Grapalat"/>
          <w:sz w:val="22"/>
          <w:szCs w:val="22"/>
        </w:rPr>
        <w:t xml:space="preserve">դրամավարկային </w:t>
      </w:r>
      <w:r w:rsidRPr="0097377F">
        <w:rPr>
          <w:rFonts w:ascii="GHEA Grapalat" w:hAnsi="GHEA Grapalat"/>
          <w:sz w:val="22"/>
          <w:szCs w:val="22"/>
        </w:rPr>
        <w:t>քաղաքականության զսպող դիրքը</w:t>
      </w:r>
      <w:r>
        <w:rPr>
          <w:rFonts w:ascii="Cambria Math" w:hAnsi="Cambria Math" w:cs="Cambria Math"/>
          <w:sz w:val="22"/>
          <w:szCs w:val="22"/>
        </w:rPr>
        <w:t>։</w:t>
      </w:r>
      <w:r w:rsidRPr="0097377F">
        <w:rPr>
          <w:rFonts w:ascii="GHEA Grapalat" w:hAnsi="GHEA Grapalat"/>
          <w:sz w:val="22"/>
          <w:szCs w:val="22"/>
        </w:rPr>
        <w:t xml:space="preserve"> </w:t>
      </w:r>
      <w:r w:rsidRPr="0097377F">
        <w:rPr>
          <w:rFonts w:ascii="GHEA Grapalat" w:hAnsi="GHEA Grapalat" w:cs="GHEA Grapalat"/>
          <w:sz w:val="22"/>
          <w:szCs w:val="22"/>
        </w:rPr>
        <w:t>Դաշնային</w:t>
      </w:r>
      <w:r w:rsidRPr="0097377F">
        <w:rPr>
          <w:rFonts w:ascii="GHEA Grapalat" w:hAnsi="GHEA Grapalat"/>
          <w:sz w:val="22"/>
          <w:szCs w:val="22"/>
        </w:rPr>
        <w:t xml:space="preserve"> </w:t>
      </w:r>
      <w:r w:rsidRPr="0097377F">
        <w:rPr>
          <w:rFonts w:ascii="GHEA Grapalat" w:hAnsi="GHEA Grapalat" w:cs="GHEA Grapalat"/>
          <w:sz w:val="22"/>
          <w:szCs w:val="22"/>
        </w:rPr>
        <w:t>պա</w:t>
      </w:r>
      <w:r w:rsidRPr="0097377F">
        <w:rPr>
          <w:rFonts w:ascii="GHEA Grapalat" w:hAnsi="GHEA Grapalat"/>
          <w:sz w:val="22"/>
          <w:szCs w:val="22"/>
        </w:rPr>
        <w:t xml:space="preserve">հուստային համակարգը պահպանել է </w:t>
      </w:r>
      <w:r>
        <w:rPr>
          <w:rFonts w:ascii="GHEA Grapalat" w:hAnsi="GHEA Grapalat"/>
          <w:sz w:val="22"/>
          <w:szCs w:val="22"/>
        </w:rPr>
        <w:t>նախորդ տարեվերջին</w:t>
      </w:r>
      <w:r w:rsidRPr="0097377F">
        <w:rPr>
          <w:rFonts w:ascii="GHEA Grapalat" w:hAnsi="GHEA Grapalat"/>
          <w:sz w:val="22"/>
          <w:szCs w:val="22"/>
        </w:rPr>
        <w:t xml:space="preserve"> սահման</w:t>
      </w:r>
      <w:r>
        <w:rPr>
          <w:rFonts w:ascii="GHEA Grapalat" w:hAnsi="GHEA Grapalat"/>
          <w:sz w:val="22"/>
          <w:szCs w:val="22"/>
        </w:rPr>
        <w:t>վ</w:t>
      </w:r>
      <w:r w:rsidRPr="0097377F">
        <w:rPr>
          <w:rFonts w:ascii="GHEA Grapalat" w:hAnsi="GHEA Grapalat"/>
          <w:sz w:val="22"/>
          <w:szCs w:val="22"/>
        </w:rPr>
        <w:t>ած</w:t>
      </w:r>
      <w:r>
        <w:rPr>
          <w:rFonts w:ascii="GHEA Grapalat" w:hAnsi="GHEA Grapalat"/>
          <w:sz w:val="22"/>
          <w:szCs w:val="22"/>
        </w:rPr>
        <w:t xml:space="preserve"> քաղաքականության տոկոսադրույքի</w:t>
      </w:r>
      <w:r w:rsidRPr="0097377F">
        <w:rPr>
          <w:rFonts w:ascii="GHEA Grapalat" w:hAnsi="GHEA Grapalat"/>
          <w:sz w:val="22"/>
          <w:szCs w:val="22"/>
        </w:rPr>
        <w:t xml:space="preserve"> 3.5-3.75% միջակայքը, մինչդեռ Եվրոպական կենտրոնական բանկը</w:t>
      </w:r>
      <w:r>
        <w:rPr>
          <w:rFonts w:ascii="GHEA Grapalat" w:hAnsi="GHEA Grapalat"/>
          <w:sz w:val="22"/>
          <w:szCs w:val="22"/>
        </w:rPr>
        <w:t>,</w:t>
      </w:r>
      <w:r w:rsidRPr="0097377F">
        <w:rPr>
          <w:rFonts w:ascii="GHEA Grapalat" w:hAnsi="GHEA Grapalat"/>
          <w:sz w:val="22"/>
          <w:szCs w:val="22"/>
        </w:rPr>
        <w:t xml:space="preserve"> մինչ</w:t>
      </w:r>
      <w:r>
        <w:rPr>
          <w:rFonts w:ascii="GHEA Grapalat" w:hAnsi="GHEA Grapalat"/>
          <w:sz w:val="22"/>
          <w:szCs w:val="22"/>
        </w:rPr>
        <w:t xml:space="preserve">և մայիս պահպանելով նախորդ տարի </w:t>
      </w:r>
      <w:r w:rsidRPr="0097377F">
        <w:rPr>
          <w:rFonts w:ascii="GHEA Grapalat" w:hAnsi="GHEA Grapalat"/>
          <w:sz w:val="22"/>
          <w:szCs w:val="22"/>
        </w:rPr>
        <w:t>սահման</w:t>
      </w:r>
      <w:r>
        <w:rPr>
          <w:rFonts w:ascii="GHEA Grapalat" w:hAnsi="GHEA Grapalat"/>
          <w:sz w:val="22"/>
          <w:szCs w:val="22"/>
        </w:rPr>
        <w:t>վ</w:t>
      </w:r>
      <w:r w:rsidRPr="0097377F">
        <w:rPr>
          <w:rFonts w:ascii="GHEA Grapalat" w:hAnsi="GHEA Grapalat"/>
          <w:sz w:val="22"/>
          <w:szCs w:val="22"/>
        </w:rPr>
        <w:t>ած 2.15% մակարդակը,</w:t>
      </w:r>
      <w:r w:rsidR="00F15698">
        <w:rPr>
          <w:rFonts w:ascii="GHEA Grapalat" w:hAnsi="GHEA Grapalat"/>
          <w:sz w:val="22"/>
          <w:szCs w:val="22"/>
        </w:rPr>
        <w:t xml:space="preserve"> </w:t>
      </w:r>
      <w:r w:rsidRPr="0097377F">
        <w:rPr>
          <w:rFonts w:ascii="GHEA Grapalat" w:hAnsi="GHEA Grapalat"/>
          <w:sz w:val="22"/>
          <w:szCs w:val="22"/>
        </w:rPr>
        <w:t>հունիսին</w:t>
      </w:r>
      <w:r>
        <w:rPr>
          <w:rFonts w:ascii="GHEA Grapalat" w:hAnsi="GHEA Grapalat"/>
          <w:sz w:val="22"/>
          <w:szCs w:val="22"/>
        </w:rPr>
        <w:t xml:space="preserve"> այն</w:t>
      </w:r>
      <w:r w:rsidRPr="0097377F">
        <w:rPr>
          <w:rFonts w:ascii="GHEA Grapalat" w:hAnsi="GHEA Grapalat"/>
          <w:sz w:val="22"/>
          <w:szCs w:val="22"/>
        </w:rPr>
        <w:t xml:space="preserve"> բարձրացրել է ևս 25 բազիսային կետով՝ պայմանավորված էներգակիրների բարձր գներով և </w:t>
      </w:r>
      <w:r>
        <w:rPr>
          <w:rFonts w:ascii="GHEA Grapalat" w:hAnsi="GHEA Grapalat"/>
          <w:sz w:val="22"/>
          <w:szCs w:val="22"/>
        </w:rPr>
        <w:t>պահպանվող</w:t>
      </w:r>
      <w:r w:rsidRPr="0097377F">
        <w:rPr>
          <w:rFonts w:ascii="GHEA Grapalat" w:hAnsi="GHEA Grapalat"/>
          <w:sz w:val="22"/>
          <w:szCs w:val="22"/>
        </w:rPr>
        <w:t xml:space="preserve"> գնաճային ռիսկերով։</w:t>
      </w:r>
    </w:p>
    <w:p w14:paraId="48DD4BF0" w14:textId="7B2EF197" w:rsidR="00F9235A" w:rsidRDefault="00F9235A" w:rsidP="007759BC">
      <w:pPr>
        <w:spacing w:line="276" w:lineRule="auto"/>
        <w:ind w:firstLine="567"/>
        <w:jc w:val="both"/>
        <w:rPr>
          <w:rFonts w:ascii="GHEA Grapalat" w:hAnsi="GHEA Grapalat"/>
          <w:sz w:val="22"/>
          <w:szCs w:val="22"/>
        </w:rPr>
      </w:pPr>
      <w:r>
        <w:rPr>
          <w:rFonts w:ascii="GHEA Grapalat" w:hAnsi="GHEA Grapalat"/>
          <w:sz w:val="22"/>
          <w:szCs w:val="22"/>
        </w:rPr>
        <w:t>Մերձավոր Արևելքի հակամարտության սպասվող ազդեցություններով պայմանավորված՝ Չինաստանի ժողովրդական բանկը շարունակել է պահպանել տոկոսադրույքը 3</w:t>
      </w:r>
      <w:r w:rsidRPr="0097377F">
        <w:rPr>
          <w:rFonts w:ascii="GHEA Grapalat" w:hAnsi="GHEA Grapalat"/>
          <w:sz w:val="22"/>
          <w:szCs w:val="22"/>
        </w:rPr>
        <w:t>%</w:t>
      </w:r>
      <w:r>
        <w:rPr>
          <w:rFonts w:ascii="GHEA Grapalat" w:hAnsi="GHEA Grapalat"/>
          <w:sz w:val="22"/>
          <w:szCs w:val="22"/>
        </w:rPr>
        <w:t xml:space="preserve"> մակարդակում։ Առաջին կիսամյակի ընթացքում ՌԴ կենտրոնական բանկը չորս անգամ նվազեցրել է </w:t>
      </w:r>
      <w:r w:rsidR="002E2E01">
        <w:rPr>
          <w:rFonts w:ascii="GHEA Grapalat" w:hAnsi="GHEA Grapalat"/>
          <w:sz w:val="22"/>
          <w:szCs w:val="22"/>
        </w:rPr>
        <w:t>քաղաքակ</w:t>
      </w:r>
      <w:r w:rsidR="00165B98">
        <w:rPr>
          <w:rFonts w:ascii="GHEA Grapalat" w:hAnsi="GHEA Grapalat"/>
          <w:sz w:val="22"/>
          <w:szCs w:val="22"/>
          <w:lang w:val="en-US"/>
        </w:rPr>
        <w:t>ա</w:t>
      </w:r>
      <w:r w:rsidR="002E2E01">
        <w:rPr>
          <w:rFonts w:ascii="GHEA Grapalat" w:hAnsi="GHEA Grapalat"/>
          <w:sz w:val="22"/>
          <w:szCs w:val="22"/>
        </w:rPr>
        <w:t xml:space="preserve">նության </w:t>
      </w:r>
      <w:r>
        <w:rPr>
          <w:rFonts w:ascii="GHEA Grapalat" w:hAnsi="GHEA Grapalat"/>
          <w:sz w:val="22"/>
          <w:szCs w:val="22"/>
        </w:rPr>
        <w:t>տոկոսադրույքը՝ հունիսին սահմանելով 14</w:t>
      </w:r>
      <w:r w:rsidRPr="000F4FDF">
        <w:rPr>
          <w:rFonts w:ascii="GHEA Grapalat" w:hAnsi="GHEA Grapalat"/>
          <w:sz w:val="22"/>
          <w:szCs w:val="22"/>
        </w:rPr>
        <w:t>.25%</w:t>
      </w:r>
      <w:r>
        <w:rPr>
          <w:rFonts w:ascii="GHEA Grapalat" w:hAnsi="GHEA Grapalat"/>
          <w:sz w:val="22"/>
          <w:szCs w:val="22"/>
        </w:rPr>
        <w:t xml:space="preserve"> մակարդակում՝ թուլացնելով քաղաքականության զսպող դիրքը՝ միաժամանակ հաշվի առնելով միջնաժամկետ գնաճային սպասումների հետ կապված ռիսկերը։</w:t>
      </w:r>
    </w:p>
    <w:p w14:paraId="418EF094" w14:textId="77777777" w:rsidR="007759BC" w:rsidRPr="0097377F" w:rsidRDefault="007759BC" w:rsidP="007759BC">
      <w:pPr>
        <w:spacing w:line="276" w:lineRule="auto"/>
        <w:ind w:firstLine="567"/>
        <w:jc w:val="both"/>
        <w:rPr>
          <w:rFonts w:ascii="GHEA Grapalat" w:hAnsi="GHEA Grapalat"/>
          <w:sz w:val="22"/>
          <w:szCs w:val="22"/>
        </w:rPr>
      </w:pPr>
    </w:p>
    <w:p w14:paraId="6CB71E43" w14:textId="77777777" w:rsidR="00F9235A" w:rsidRPr="005038F5" w:rsidRDefault="00F9235A" w:rsidP="006B6F92">
      <w:pPr>
        <w:pStyle w:val="ListParagraph"/>
        <w:keepNext/>
        <w:keepLines/>
        <w:numPr>
          <w:ilvl w:val="0"/>
          <w:numId w:val="42"/>
        </w:numPr>
        <w:tabs>
          <w:tab w:val="left" w:pos="0"/>
          <w:tab w:val="left" w:pos="284"/>
          <w:tab w:val="left" w:pos="1134"/>
          <w:tab w:val="left" w:pos="1276"/>
          <w:tab w:val="left" w:pos="1418"/>
          <w:tab w:val="left" w:pos="1888"/>
        </w:tabs>
        <w:autoSpaceDE w:val="0"/>
        <w:autoSpaceDN w:val="0"/>
        <w:adjustRightInd w:val="0"/>
        <w:spacing w:after="0"/>
        <w:ind w:left="0" w:firstLine="0"/>
        <w:rPr>
          <w:rFonts w:ascii="GHEA Grapalat" w:hAnsi="GHEA Grapalat" w:cs="Sylfaen"/>
          <w:b/>
          <w:sz w:val="18"/>
          <w:szCs w:val="18"/>
          <w:lang w:val="hy-AM"/>
        </w:rPr>
      </w:pPr>
      <w:r w:rsidRPr="005038F5">
        <w:rPr>
          <w:rFonts w:ascii="GHEA Grapalat" w:hAnsi="GHEA Grapalat" w:cs="Sylfaen"/>
          <w:b/>
          <w:sz w:val="18"/>
          <w:szCs w:val="18"/>
          <w:lang w:val="hy-AM"/>
        </w:rPr>
        <w:t>Գնաճն ու դրամավարկային քաղաքականության արձագանքը գործընկեր երկրներում</w:t>
      </w:r>
      <w:r w:rsidRPr="00D52212">
        <w:rPr>
          <w:rFonts w:ascii="GHEA Grapalat" w:hAnsi="GHEA Grapalat" w:cs="Sylfaen"/>
          <w:b/>
          <w:sz w:val="18"/>
          <w:szCs w:val="18"/>
          <w:vertAlign w:val="superscript"/>
        </w:rPr>
        <w:footnoteReference w:id="4"/>
      </w:r>
    </w:p>
    <w:tbl>
      <w:tblPr>
        <w:tblW w:w="10206" w:type="dxa"/>
        <w:jc w:val="center"/>
        <w:tblLook w:val="04A0" w:firstRow="1" w:lastRow="0" w:firstColumn="1" w:lastColumn="0" w:noHBand="0" w:noVBand="1"/>
      </w:tblPr>
      <w:tblGrid>
        <w:gridCol w:w="10208"/>
      </w:tblGrid>
      <w:tr w:rsidR="00F9235A" w:rsidRPr="00345A1C" w14:paraId="76AE8A42" w14:textId="77777777" w:rsidTr="00A54320">
        <w:trPr>
          <w:trHeight w:val="3619"/>
          <w:jc w:val="center"/>
        </w:trPr>
        <w:tc>
          <w:tcPr>
            <w:tcW w:w="10206" w:type="dxa"/>
            <w:shd w:val="clear" w:color="auto" w:fill="auto"/>
          </w:tcPr>
          <w:p w14:paraId="4810D5A5" w14:textId="77777777" w:rsidR="00F9235A" w:rsidRPr="00345A1C" w:rsidRDefault="00F9235A" w:rsidP="007C3BA1">
            <w:pPr>
              <w:spacing w:line="276" w:lineRule="auto"/>
              <w:ind w:left="-105" w:right="-111"/>
              <w:jc w:val="both"/>
              <w:rPr>
                <w:rFonts w:ascii="GHEA Grapalat" w:hAnsi="GHEA Grapalat"/>
                <w:b/>
                <w:sz w:val="22"/>
              </w:rPr>
            </w:pPr>
            <w:r w:rsidRPr="00345A1C">
              <w:rPr>
                <w:rFonts w:ascii="GHEA Grapalat" w:hAnsi="GHEA Grapalat"/>
                <w:b/>
                <w:sz w:val="22"/>
                <w:lang w:val="en-US"/>
              </w:rPr>
              <w:drawing>
                <wp:inline distT="0" distB="0" distL="0" distR="0" wp14:anchorId="7052A597" wp14:editId="2DA78193">
                  <wp:extent cx="3295650" cy="1860550"/>
                  <wp:effectExtent l="0" t="0" r="0" b="6350"/>
                  <wp:docPr id="1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Pr="00345A1C">
              <w:rPr>
                <w:rFonts w:ascii="GHEA Grapalat" w:hAnsi="GHEA Grapalat"/>
                <w:b/>
                <w:sz w:val="22"/>
                <w:lang w:val="en-US"/>
              </w:rPr>
              <w:drawing>
                <wp:inline distT="0" distB="0" distL="0" distR="0" wp14:anchorId="0E22B7A7" wp14:editId="64EC2D93">
                  <wp:extent cx="3166110" cy="1857375"/>
                  <wp:effectExtent l="0" t="0" r="15240" b="9525"/>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Pr="00345A1C">
              <w:rPr>
                <w:rFonts w:ascii="GHEA Grapalat" w:hAnsi="GHEA Grapalat"/>
                <w:b/>
                <w:sz w:val="22"/>
                <w:lang w:val="en-US"/>
              </w:rPr>
              <w:drawing>
                <wp:inline distT="0" distB="0" distL="0" distR="0" wp14:anchorId="539D4B2D" wp14:editId="5459D0F7">
                  <wp:extent cx="6448425" cy="219710"/>
                  <wp:effectExtent l="0" t="0" r="9525" b="8890"/>
                  <wp:docPr id="3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8E0E498" w14:textId="6F9F1F3C" w:rsidR="0087412D" w:rsidRPr="00345A1C" w:rsidRDefault="00F9235A" w:rsidP="001141FD">
            <w:pPr>
              <w:spacing w:line="276" w:lineRule="auto"/>
              <w:ind w:left="-113"/>
              <w:jc w:val="both"/>
              <w:rPr>
                <w:rFonts w:ascii="GHEA Grapalat" w:hAnsi="GHEA Grapalat"/>
                <w:i/>
                <w:sz w:val="16"/>
                <w:szCs w:val="16"/>
              </w:rPr>
            </w:pPr>
            <w:r w:rsidRPr="00345A1C">
              <w:rPr>
                <w:rFonts w:ascii="GHEA Grapalat" w:hAnsi="GHEA Grapalat"/>
                <w:i/>
                <w:sz w:val="16"/>
                <w:szCs w:val="16"/>
              </w:rPr>
              <w:t>Աղբյուրը՝ ԱՄՆ ԴՊՀ, ԵԿԲ, Չինաստանի ժողովրդական բանկ, ՌԴ ԿԲ</w:t>
            </w:r>
          </w:p>
        </w:tc>
      </w:tr>
    </w:tbl>
    <w:p w14:paraId="46DDA52E" w14:textId="77777777" w:rsidR="00A54320" w:rsidRPr="00A54320" w:rsidRDefault="00A54320" w:rsidP="00A54320">
      <w:pPr>
        <w:spacing w:line="276" w:lineRule="auto"/>
        <w:ind w:firstLine="562"/>
        <w:contextualSpacing/>
        <w:jc w:val="both"/>
        <w:rPr>
          <w:rFonts w:ascii="GHEA Grapalat" w:hAnsi="GHEA Grapalat"/>
          <w:sz w:val="22"/>
        </w:rPr>
      </w:pPr>
    </w:p>
    <w:p w14:paraId="20FB0D86" w14:textId="7D5BD3EA" w:rsidR="00F9235A" w:rsidRPr="001910C7" w:rsidRDefault="00F9235A" w:rsidP="00F9235A">
      <w:pPr>
        <w:spacing w:before="240" w:line="276" w:lineRule="auto"/>
        <w:ind w:firstLine="562"/>
        <w:contextualSpacing/>
        <w:jc w:val="both"/>
        <w:rPr>
          <w:rFonts w:ascii="GHEA Grapalat" w:hAnsi="GHEA Grapalat"/>
          <w:color w:val="FF0000"/>
          <w:sz w:val="22"/>
        </w:rPr>
      </w:pPr>
      <w:r w:rsidRPr="00345A1C">
        <w:rPr>
          <w:rFonts w:ascii="GHEA Grapalat" w:hAnsi="GHEA Grapalat"/>
          <w:b/>
          <w:i/>
          <w:iCs/>
          <w:sz w:val="22"/>
        </w:rPr>
        <w:t>Միջազգային գներ</w:t>
      </w:r>
      <w:r w:rsidRPr="00345A1C">
        <w:rPr>
          <w:rFonts w:ascii="GHEA Grapalat" w:hAnsi="GHEA Grapalat"/>
          <w:b/>
          <w:i/>
          <w:iCs/>
          <w:sz w:val="22"/>
          <w:vertAlign w:val="superscript"/>
        </w:rPr>
        <w:footnoteReference w:id="5"/>
      </w:r>
      <w:r w:rsidRPr="00345A1C">
        <w:rPr>
          <w:rFonts w:ascii="GHEA Grapalat" w:hAnsi="GHEA Grapalat"/>
          <w:b/>
          <w:sz w:val="22"/>
        </w:rPr>
        <w:t>:</w:t>
      </w:r>
      <w:r>
        <w:rPr>
          <w:rFonts w:ascii="GHEA Grapalat" w:hAnsi="GHEA Grapalat"/>
          <w:sz w:val="22"/>
        </w:rPr>
        <w:t xml:space="preserve"> </w:t>
      </w:r>
      <w:r w:rsidRPr="00BF7323">
        <w:rPr>
          <w:rFonts w:ascii="GHEA Grapalat" w:hAnsi="GHEA Grapalat"/>
          <w:sz w:val="22"/>
        </w:rPr>
        <w:t xml:space="preserve">Համաշխարհային ապրանքային շուկաները 2026թ. առաջին </w:t>
      </w:r>
      <w:r>
        <w:rPr>
          <w:rFonts w:ascii="GHEA Grapalat" w:hAnsi="GHEA Grapalat"/>
          <w:sz w:val="22"/>
        </w:rPr>
        <w:t>կիսամյակում</w:t>
      </w:r>
      <w:r w:rsidRPr="00BF7323">
        <w:rPr>
          <w:rFonts w:ascii="GHEA Grapalat" w:hAnsi="GHEA Grapalat"/>
          <w:sz w:val="22"/>
        </w:rPr>
        <w:t xml:space="preserve"> բնութագրվե</w:t>
      </w:r>
      <w:r w:rsidR="00F356D0">
        <w:rPr>
          <w:rFonts w:ascii="GHEA Grapalat" w:hAnsi="GHEA Grapalat"/>
          <w:sz w:val="22"/>
        </w:rPr>
        <w:t xml:space="preserve">լ են </w:t>
      </w:r>
      <w:r w:rsidRPr="00BF7323">
        <w:rPr>
          <w:rFonts w:ascii="GHEA Grapalat" w:hAnsi="GHEA Grapalat"/>
          <w:sz w:val="22"/>
        </w:rPr>
        <w:t xml:space="preserve">զգալի անկայունությամբ, ինչը պայմանավորված էր փետրվարի 28-ին Իրանի դեմ </w:t>
      </w:r>
      <w:r>
        <w:rPr>
          <w:rFonts w:ascii="GHEA Grapalat" w:hAnsi="GHEA Grapalat"/>
          <w:sz w:val="22"/>
        </w:rPr>
        <w:lastRenderedPageBreak/>
        <w:t>ԱՄՆ ռազմական գործողություններով։ Դրանց հետևանքով ցնցումներ են գրանցվել</w:t>
      </w:r>
      <w:r w:rsidRPr="00BF7323">
        <w:rPr>
          <w:rFonts w:ascii="GHEA Grapalat" w:hAnsi="GHEA Grapalat"/>
          <w:sz w:val="22"/>
        </w:rPr>
        <w:t xml:space="preserve"> </w:t>
      </w:r>
      <w:r>
        <w:rPr>
          <w:rFonts w:ascii="GHEA Grapalat" w:hAnsi="GHEA Grapalat"/>
          <w:sz w:val="22"/>
        </w:rPr>
        <w:t>էներգակիրների</w:t>
      </w:r>
      <w:r w:rsidRPr="00BF7323">
        <w:rPr>
          <w:rFonts w:ascii="GHEA Grapalat" w:hAnsi="GHEA Grapalat"/>
          <w:sz w:val="22"/>
        </w:rPr>
        <w:t xml:space="preserve">, մետաղների և </w:t>
      </w:r>
      <w:r>
        <w:rPr>
          <w:rFonts w:ascii="GHEA Grapalat" w:hAnsi="GHEA Grapalat"/>
          <w:sz w:val="22"/>
        </w:rPr>
        <w:t>պարենային ապրանքների շուկաներում։</w:t>
      </w:r>
    </w:p>
    <w:p w14:paraId="5A4297C8" w14:textId="77777777" w:rsidR="00F9235A" w:rsidRDefault="00F9235A" w:rsidP="00F9235A">
      <w:pPr>
        <w:spacing w:line="276" w:lineRule="auto"/>
        <w:ind w:firstLine="562"/>
        <w:contextualSpacing/>
        <w:jc w:val="both"/>
        <w:rPr>
          <w:rFonts w:ascii="GHEA Grapalat" w:hAnsi="GHEA Grapalat"/>
          <w:sz w:val="22"/>
        </w:rPr>
      </w:pPr>
      <w:r w:rsidRPr="00630388">
        <w:rPr>
          <w:rFonts w:ascii="GHEA Grapalat" w:hAnsi="GHEA Grapalat"/>
          <w:sz w:val="22"/>
        </w:rPr>
        <w:t xml:space="preserve">Նավթի միջազգային գինը 2026թ. առաջին </w:t>
      </w:r>
      <w:r>
        <w:rPr>
          <w:rFonts w:ascii="GHEA Grapalat" w:hAnsi="GHEA Grapalat"/>
          <w:sz w:val="22"/>
        </w:rPr>
        <w:t>կիսամյակում</w:t>
      </w:r>
      <w:r w:rsidRPr="00630388">
        <w:rPr>
          <w:rFonts w:ascii="GHEA Grapalat" w:hAnsi="GHEA Grapalat"/>
          <w:sz w:val="22"/>
        </w:rPr>
        <w:t xml:space="preserve"> նախորդ տարվա համապատասխան ժամանակահատվածի նկատմամբ աճել է </w:t>
      </w:r>
      <w:r w:rsidRPr="0061080E">
        <w:rPr>
          <w:rFonts w:ascii="GHEA Grapalat" w:hAnsi="GHEA Grapalat"/>
          <w:sz w:val="22"/>
        </w:rPr>
        <w:t>29</w:t>
      </w:r>
      <w:r w:rsidRPr="00630388">
        <w:rPr>
          <w:rFonts w:ascii="GHEA Grapalat" w:hAnsi="GHEA Grapalat"/>
          <w:sz w:val="22"/>
        </w:rPr>
        <w:t xml:space="preserve">%-ով: </w:t>
      </w:r>
      <w:r>
        <w:rPr>
          <w:rFonts w:ascii="GHEA Grapalat" w:hAnsi="GHEA Grapalat"/>
          <w:sz w:val="22"/>
        </w:rPr>
        <w:t>Միաժամանակ, հունվար-փետրվար ամիսներին նավթի գինը նվազել է 10.6</w:t>
      </w:r>
      <w:r w:rsidRPr="00DA19A8">
        <w:rPr>
          <w:rFonts w:ascii="GHEA Grapalat" w:hAnsi="GHEA Grapalat"/>
          <w:sz w:val="22"/>
        </w:rPr>
        <w:t>%</w:t>
      </w:r>
      <w:r>
        <w:rPr>
          <w:rFonts w:ascii="GHEA Grapalat" w:hAnsi="GHEA Grapalat"/>
          <w:sz w:val="22"/>
        </w:rPr>
        <w:t>-ով՝ պայմանավորված ՕՊԵԿ+ և ոչ ՕՊԵԿ+ անդամ երկրների կողմից նավթի առաջարկի աճով: Սակայն մարտից</w:t>
      </w:r>
      <w:r w:rsidRPr="00630388">
        <w:rPr>
          <w:rFonts w:ascii="GHEA Grapalat" w:hAnsi="GHEA Grapalat"/>
          <w:sz w:val="22"/>
        </w:rPr>
        <w:t xml:space="preserve"> </w:t>
      </w:r>
      <w:r>
        <w:rPr>
          <w:rFonts w:ascii="GHEA Grapalat" w:hAnsi="GHEA Grapalat"/>
          <w:sz w:val="22"/>
        </w:rPr>
        <w:t xml:space="preserve">ռազմական լարվածության սրման, ինչպես նաև </w:t>
      </w:r>
      <w:r w:rsidRPr="00A32D18">
        <w:rPr>
          <w:rFonts w:ascii="GHEA Grapalat" w:hAnsi="GHEA Grapalat"/>
          <w:sz w:val="22"/>
        </w:rPr>
        <w:t>մատակարար</w:t>
      </w:r>
      <w:r>
        <w:rPr>
          <w:rFonts w:ascii="GHEA Grapalat" w:hAnsi="GHEA Grapalat"/>
          <w:sz w:val="22"/>
        </w:rPr>
        <w:t xml:space="preserve">ման և արժեշղթաների խափանումների ռիսկերի ազդեցությամբ </w:t>
      </w:r>
      <w:r w:rsidRPr="00630388">
        <w:rPr>
          <w:rFonts w:ascii="GHEA Grapalat" w:hAnsi="GHEA Grapalat"/>
          <w:sz w:val="22"/>
        </w:rPr>
        <w:t>նավթ</w:t>
      </w:r>
      <w:r>
        <w:rPr>
          <w:rFonts w:ascii="GHEA Grapalat" w:hAnsi="GHEA Grapalat"/>
          <w:sz w:val="22"/>
        </w:rPr>
        <w:t>ի</w:t>
      </w:r>
      <w:r w:rsidRPr="00630388">
        <w:rPr>
          <w:rFonts w:ascii="GHEA Grapalat" w:hAnsi="GHEA Grapalat"/>
          <w:sz w:val="22"/>
        </w:rPr>
        <w:t xml:space="preserve"> գին</w:t>
      </w:r>
      <w:r>
        <w:rPr>
          <w:rFonts w:ascii="GHEA Grapalat" w:hAnsi="GHEA Grapalat"/>
          <w:sz w:val="22"/>
        </w:rPr>
        <w:t>ն աճել է՝</w:t>
      </w:r>
      <w:r w:rsidRPr="00630388">
        <w:rPr>
          <w:rFonts w:ascii="GHEA Grapalat" w:hAnsi="GHEA Grapalat"/>
          <w:sz w:val="22"/>
        </w:rPr>
        <w:t xml:space="preserve"> </w:t>
      </w:r>
      <w:r>
        <w:rPr>
          <w:rFonts w:ascii="GHEA Grapalat" w:hAnsi="GHEA Grapalat"/>
          <w:sz w:val="22"/>
        </w:rPr>
        <w:t xml:space="preserve">ապրիլին </w:t>
      </w:r>
      <w:r w:rsidRPr="00630388">
        <w:rPr>
          <w:rFonts w:ascii="GHEA Grapalat" w:hAnsi="GHEA Grapalat"/>
          <w:sz w:val="22"/>
        </w:rPr>
        <w:t>հաս</w:t>
      </w:r>
      <w:r>
        <w:rPr>
          <w:rFonts w:ascii="GHEA Grapalat" w:hAnsi="GHEA Grapalat"/>
          <w:sz w:val="22"/>
        </w:rPr>
        <w:t>նելով</w:t>
      </w:r>
      <w:r w:rsidRPr="00630388">
        <w:rPr>
          <w:rFonts w:ascii="GHEA Grapalat" w:hAnsi="GHEA Grapalat"/>
          <w:sz w:val="22"/>
        </w:rPr>
        <w:t xml:space="preserve"> </w:t>
      </w:r>
      <w:r>
        <w:rPr>
          <w:rFonts w:ascii="GHEA Grapalat" w:hAnsi="GHEA Grapalat"/>
          <w:sz w:val="22"/>
        </w:rPr>
        <w:t>մեկ բարելի դիմաց առավելագույն 120</w:t>
      </w:r>
      <w:r w:rsidRPr="00630388">
        <w:rPr>
          <w:rFonts w:ascii="GHEA Grapalat" w:hAnsi="GHEA Grapalat"/>
          <w:sz w:val="22"/>
        </w:rPr>
        <w:t xml:space="preserve"> ԱՄՆ դոլար</w:t>
      </w:r>
      <w:r>
        <w:rPr>
          <w:rFonts w:ascii="GHEA Grapalat" w:hAnsi="GHEA Grapalat"/>
          <w:sz w:val="22"/>
        </w:rPr>
        <w:t xml:space="preserve"> մակարդակին։ Մայիս-հունիս ամիսներին նավթի գինը նվազման միտում է դրսևորել՝ պայմանավորված Մերձավոր Արևելքում խաղաղության գործընթացում արձանագրված առաջընթացով և նավթի առաջարկի աճով։</w:t>
      </w:r>
    </w:p>
    <w:p w14:paraId="47C5C626" w14:textId="77777777" w:rsidR="00F9235A" w:rsidRPr="004B3A1F" w:rsidRDefault="00F9235A" w:rsidP="00F9235A">
      <w:pPr>
        <w:spacing w:line="276" w:lineRule="auto"/>
        <w:ind w:firstLine="562"/>
        <w:contextualSpacing/>
        <w:jc w:val="both"/>
        <w:rPr>
          <w:rFonts w:ascii="GHEA Grapalat" w:hAnsi="GHEA Grapalat"/>
          <w:b/>
          <w:sz w:val="22"/>
        </w:rPr>
      </w:pPr>
      <w:r w:rsidRPr="0013142D">
        <w:rPr>
          <w:rFonts w:ascii="GHEA Grapalat" w:hAnsi="GHEA Grapalat"/>
          <w:sz w:val="22"/>
        </w:rPr>
        <w:t xml:space="preserve">Պղնձի միջազգային գինը 2026թ. առաջին </w:t>
      </w:r>
      <w:r>
        <w:rPr>
          <w:rFonts w:ascii="GHEA Grapalat" w:hAnsi="GHEA Grapalat"/>
          <w:sz w:val="22"/>
        </w:rPr>
        <w:t xml:space="preserve">կիսամյակում </w:t>
      </w:r>
      <w:r w:rsidRPr="0013142D">
        <w:rPr>
          <w:rFonts w:ascii="GHEA Grapalat" w:hAnsi="GHEA Grapalat"/>
          <w:sz w:val="22"/>
        </w:rPr>
        <w:t>նախորդ տարվա համապատասխան ժամա</w:t>
      </w:r>
      <w:r>
        <w:rPr>
          <w:rFonts w:ascii="GHEA Grapalat" w:hAnsi="GHEA Grapalat"/>
          <w:sz w:val="22"/>
        </w:rPr>
        <w:t>նակահատվածի նկատմամբ աճել է 39%-ով՝ միջինում կազմելով մեկ տոննայի դիմաց շուրջ 13,000 ԱՄՆ դոլար</w:t>
      </w:r>
      <w:r w:rsidRPr="00EF2F0F">
        <w:rPr>
          <w:rFonts w:ascii="GHEA Grapalat" w:hAnsi="GHEA Grapalat"/>
          <w:sz w:val="22"/>
        </w:rPr>
        <w:t xml:space="preserve">: </w:t>
      </w:r>
      <w:r>
        <w:rPr>
          <w:rFonts w:ascii="GHEA Grapalat" w:hAnsi="GHEA Grapalat"/>
          <w:sz w:val="22"/>
        </w:rPr>
        <w:t>Նախորդ տարվա առաջին կիսամյակի համեմատ պղնձի միջազգային գնի զգալի աճը պայմանավորված է եղել խտանյութի առաջարկի կրճատմամբ, վերականգնվող էներգիայի ոլորտում շարունակաբար աճող պահանջարկով և ԱՄՆ դոլարի դիրքի թուլացմամբ, ինչպես նաև էներգակիրների գների աճով ու փոխադրումների խափանումներով։</w:t>
      </w:r>
    </w:p>
    <w:p w14:paraId="037D22A3" w14:textId="62B765B2" w:rsidR="00B2108D" w:rsidRDefault="00F9235A" w:rsidP="0087412D">
      <w:pPr>
        <w:spacing w:line="276" w:lineRule="auto"/>
        <w:ind w:firstLine="567"/>
        <w:contextualSpacing/>
        <w:jc w:val="both"/>
        <w:rPr>
          <w:rFonts w:ascii="GHEA Grapalat" w:hAnsi="GHEA Grapalat"/>
          <w:sz w:val="22"/>
        </w:rPr>
      </w:pPr>
      <w:r w:rsidRPr="003E1D2D">
        <w:rPr>
          <w:rFonts w:ascii="GHEA Grapalat" w:hAnsi="GHEA Grapalat"/>
          <w:sz w:val="22"/>
        </w:rPr>
        <w:t>Պարենի միջազգային գինը</w:t>
      </w:r>
      <w:r w:rsidRPr="003E1D2D">
        <w:rPr>
          <w:rFonts w:ascii="GHEA Grapalat" w:hAnsi="GHEA Grapalat"/>
          <w:sz w:val="22"/>
          <w:szCs w:val="22"/>
          <w:vertAlign w:val="superscript"/>
        </w:rPr>
        <w:footnoteReference w:id="6"/>
      </w:r>
      <w:r w:rsidRPr="003E1D2D">
        <w:rPr>
          <w:rFonts w:ascii="GHEA Grapalat" w:hAnsi="GHEA Grapalat"/>
          <w:sz w:val="22"/>
        </w:rPr>
        <w:t xml:space="preserve"> 2026թ. առաջին </w:t>
      </w:r>
      <w:r>
        <w:rPr>
          <w:rFonts w:ascii="GHEA Grapalat" w:hAnsi="GHEA Grapalat"/>
          <w:sz w:val="22"/>
        </w:rPr>
        <w:t>կիսամյակում</w:t>
      </w:r>
      <w:r w:rsidRPr="003E1D2D">
        <w:rPr>
          <w:rFonts w:ascii="GHEA Grapalat" w:hAnsi="GHEA Grapalat"/>
          <w:sz w:val="22"/>
        </w:rPr>
        <w:t xml:space="preserve"> նախորդ տարվա</w:t>
      </w:r>
      <w:r>
        <w:rPr>
          <w:rFonts w:ascii="GHEA Grapalat" w:hAnsi="GHEA Grapalat"/>
          <w:sz w:val="22"/>
        </w:rPr>
        <w:t xml:space="preserve"> </w:t>
      </w:r>
      <w:r w:rsidRPr="003E1D2D">
        <w:rPr>
          <w:rFonts w:ascii="GHEA Grapalat" w:hAnsi="GHEA Grapalat"/>
          <w:sz w:val="22"/>
        </w:rPr>
        <w:t>նույն</w:t>
      </w:r>
      <w:r w:rsidRPr="0013142D">
        <w:rPr>
          <w:rFonts w:ascii="GHEA Grapalat" w:hAnsi="GHEA Grapalat"/>
          <w:sz w:val="22"/>
        </w:rPr>
        <w:t xml:space="preserve"> ժամանակահատվածի համեմատ </w:t>
      </w:r>
      <w:r>
        <w:rPr>
          <w:rFonts w:ascii="GHEA Grapalat" w:hAnsi="GHEA Grapalat"/>
          <w:sz w:val="22"/>
        </w:rPr>
        <w:t>աճել է 1</w:t>
      </w:r>
      <w:r w:rsidRPr="0013142D">
        <w:rPr>
          <w:rFonts w:ascii="GHEA Grapalat" w:hAnsi="GHEA Grapalat"/>
          <w:sz w:val="22"/>
        </w:rPr>
        <w:t>.1%-ով</w:t>
      </w:r>
      <w:r w:rsidRPr="00EF2F0F">
        <w:rPr>
          <w:rFonts w:ascii="GHEA Grapalat" w:hAnsi="GHEA Grapalat"/>
          <w:sz w:val="22"/>
        </w:rPr>
        <w:t xml:space="preserve">: </w:t>
      </w:r>
      <w:r>
        <w:rPr>
          <w:rFonts w:ascii="GHEA Grapalat" w:hAnsi="GHEA Grapalat"/>
          <w:sz w:val="22"/>
        </w:rPr>
        <w:t xml:space="preserve">Միևնույն ժամանակ, հունվար-փետրվար ամիսներին գրանցվել է պարենի գնի նվազում՝ </w:t>
      </w:r>
      <w:r w:rsidRPr="00EF2F0F">
        <w:rPr>
          <w:rFonts w:ascii="GHEA Grapalat" w:hAnsi="GHEA Grapalat"/>
          <w:sz w:val="22"/>
        </w:rPr>
        <w:t>0.7%</w:t>
      </w:r>
      <w:r>
        <w:rPr>
          <w:rFonts w:ascii="GHEA Grapalat" w:hAnsi="GHEA Grapalat"/>
          <w:sz w:val="22"/>
        </w:rPr>
        <w:t>-ով</w:t>
      </w:r>
      <w:r w:rsidRPr="0013142D">
        <w:rPr>
          <w:rFonts w:ascii="GHEA Grapalat" w:hAnsi="GHEA Grapalat"/>
          <w:sz w:val="22"/>
        </w:rPr>
        <w:t>՝ պայմանավորված կաթնամթերքի, հացահատիկի և շաքարավազի</w:t>
      </w:r>
      <w:r>
        <w:rPr>
          <w:rFonts w:ascii="GHEA Grapalat" w:hAnsi="GHEA Grapalat"/>
          <w:sz w:val="22"/>
        </w:rPr>
        <w:t xml:space="preserve"> </w:t>
      </w:r>
      <w:r w:rsidRPr="0013142D">
        <w:rPr>
          <w:rFonts w:ascii="GHEA Grapalat" w:hAnsi="GHEA Grapalat"/>
          <w:sz w:val="22"/>
        </w:rPr>
        <w:t xml:space="preserve">գների նվազմամբ, </w:t>
      </w:r>
      <w:r w:rsidRPr="00CC0936">
        <w:rPr>
          <w:rFonts w:ascii="GHEA Grapalat" w:hAnsi="GHEA Grapalat"/>
          <w:sz w:val="22"/>
        </w:rPr>
        <w:t xml:space="preserve">որն իր հերթին </w:t>
      </w:r>
      <w:r>
        <w:rPr>
          <w:rFonts w:ascii="GHEA Grapalat" w:hAnsi="GHEA Grapalat"/>
          <w:sz w:val="22"/>
        </w:rPr>
        <w:t>հիմնականում արտացոլել</w:t>
      </w:r>
      <w:r w:rsidRPr="00CC0936">
        <w:rPr>
          <w:rFonts w:ascii="GHEA Grapalat" w:hAnsi="GHEA Grapalat"/>
          <w:sz w:val="22"/>
        </w:rPr>
        <w:t xml:space="preserve"> է առաջարկի աճ</w:t>
      </w:r>
      <w:r>
        <w:rPr>
          <w:rFonts w:ascii="GHEA Grapalat" w:hAnsi="GHEA Grapalat"/>
          <w:sz w:val="22"/>
        </w:rPr>
        <w:t>ը</w:t>
      </w:r>
      <w:r w:rsidRPr="00CC0936">
        <w:rPr>
          <w:rFonts w:ascii="GHEA Grapalat" w:hAnsi="GHEA Grapalat"/>
          <w:sz w:val="22"/>
        </w:rPr>
        <w:t xml:space="preserve">: </w:t>
      </w:r>
      <w:r>
        <w:rPr>
          <w:rFonts w:ascii="GHEA Grapalat" w:hAnsi="GHEA Grapalat"/>
          <w:sz w:val="22"/>
        </w:rPr>
        <w:t>Մարտից պարենի գինն աճել է՝ կրելով աշխարհաքաղաքական զարգացումների հետևանքով էներգակիրների և պարարտանյութերի գների աճի ազդեցությունը: Սակայն հունիսին աշխարհաքաղաքական լարվածության թուլացումը և էներգակիրների գների նվազումը նպաստել են նախորդ ամիսներին արձանագրված աճի մի մասի չեզոքացմանը։</w:t>
      </w:r>
    </w:p>
    <w:p w14:paraId="77F8527E" w14:textId="77777777" w:rsidR="0087412D" w:rsidRPr="00345A1C" w:rsidRDefault="0087412D" w:rsidP="0087412D">
      <w:pPr>
        <w:spacing w:line="276" w:lineRule="auto"/>
        <w:ind w:firstLine="567"/>
        <w:contextualSpacing/>
        <w:jc w:val="both"/>
        <w:rPr>
          <w:rFonts w:ascii="GHEA Grapalat" w:hAnsi="GHEA Grapalat"/>
          <w:sz w:val="22"/>
        </w:rPr>
      </w:pPr>
    </w:p>
    <w:p w14:paraId="465F9E9E" w14:textId="77777777" w:rsidR="00F9235A" w:rsidRPr="005038F5" w:rsidRDefault="00F9235A" w:rsidP="006B6F92">
      <w:pPr>
        <w:pStyle w:val="ListParagraph"/>
        <w:keepNext/>
        <w:keepLines/>
        <w:numPr>
          <w:ilvl w:val="0"/>
          <w:numId w:val="42"/>
        </w:numPr>
        <w:tabs>
          <w:tab w:val="left" w:pos="0"/>
          <w:tab w:val="left" w:pos="284"/>
          <w:tab w:val="left" w:pos="1134"/>
          <w:tab w:val="left" w:pos="1276"/>
          <w:tab w:val="left" w:pos="1418"/>
          <w:tab w:val="left" w:pos="1888"/>
        </w:tabs>
        <w:autoSpaceDE w:val="0"/>
        <w:autoSpaceDN w:val="0"/>
        <w:adjustRightInd w:val="0"/>
        <w:spacing w:after="0"/>
        <w:ind w:left="0" w:firstLine="0"/>
        <w:rPr>
          <w:rFonts w:ascii="GHEA Grapalat" w:hAnsi="GHEA Grapalat" w:cs="Sylfaen"/>
          <w:b/>
          <w:sz w:val="18"/>
          <w:szCs w:val="18"/>
          <w:lang w:val="hy-AM"/>
        </w:rPr>
      </w:pPr>
      <w:r w:rsidRPr="005038F5">
        <w:rPr>
          <w:rFonts w:ascii="GHEA Grapalat" w:hAnsi="GHEA Grapalat" w:cs="Sylfaen"/>
          <w:b/>
          <w:sz w:val="18"/>
          <w:szCs w:val="18"/>
          <w:lang w:val="hy-AM"/>
        </w:rPr>
        <w:t>Նավթի, պղնձի և պարենի գների զարգացումներ</w:t>
      </w:r>
      <w:r w:rsidRPr="00D52212">
        <w:rPr>
          <w:rFonts w:ascii="GHEA Grapalat" w:hAnsi="GHEA Grapalat"/>
          <w:b/>
          <w:sz w:val="18"/>
          <w:szCs w:val="18"/>
          <w:vertAlign w:val="superscript"/>
        </w:rPr>
        <w:footnoteReference w:id="7"/>
      </w:r>
    </w:p>
    <w:tbl>
      <w:tblPr>
        <w:tblStyle w:val="TableGrid"/>
        <w:tblW w:w="10206"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03"/>
        <w:gridCol w:w="5103"/>
      </w:tblGrid>
      <w:tr w:rsidR="00F9235A" w:rsidRPr="00345A1C" w14:paraId="3184D3CD" w14:textId="77777777" w:rsidTr="000220F7">
        <w:trPr>
          <w:trHeight w:val="3936"/>
        </w:trPr>
        <w:tc>
          <w:tcPr>
            <w:tcW w:w="5103" w:type="dxa"/>
          </w:tcPr>
          <w:bookmarkEnd w:id="4"/>
          <w:p w14:paraId="5D54E9CA" w14:textId="77777777" w:rsidR="00F9235A" w:rsidRPr="00BC2C75" w:rsidRDefault="00F9235A" w:rsidP="00174C21">
            <w:pPr>
              <w:rPr>
                <w:rFonts w:ascii="GHEA Grapalat" w:hAnsi="GHEA Grapalat"/>
              </w:rPr>
            </w:pPr>
            <w:r w:rsidRPr="00345A1C">
              <w:rPr>
                <w:rFonts w:ascii="GHEA Grapalat" w:hAnsi="GHEA Grapalat"/>
                <w:b/>
                <w:color w:val="365F91" w:themeColor="accent1" w:themeShade="BF"/>
                <w:sz w:val="26"/>
                <w:szCs w:val="26"/>
                <w:lang w:val="en-US"/>
              </w:rPr>
              <w:drawing>
                <wp:inline distT="0" distB="0" distL="0" distR="0" wp14:anchorId="14B288D9" wp14:editId="118CDFAE">
                  <wp:extent cx="3085106" cy="2464435"/>
                  <wp:effectExtent l="0" t="0" r="1270" b="1206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5103" w:type="dxa"/>
          </w:tcPr>
          <w:p w14:paraId="1D99D4C9" w14:textId="77777777" w:rsidR="00F9235A" w:rsidRPr="00BC2C75" w:rsidRDefault="00F9235A" w:rsidP="00174C21">
            <w:pPr>
              <w:ind w:right="-101"/>
              <w:rPr>
                <w:rFonts w:ascii="GHEA Grapalat" w:hAnsi="GHEA Grapalat"/>
              </w:rPr>
            </w:pPr>
            <w:r w:rsidRPr="00345A1C">
              <w:rPr>
                <w:rFonts w:ascii="GHEA Grapalat" w:hAnsi="GHEA Grapalat"/>
                <w:lang w:val="en-US"/>
              </w:rPr>
              <w:drawing>
                <wp:inline distT="0" distB="0" distL="0" distR="0" wp14:anchorId="36DDEEB5" wp14:editId="248DAF5A">
                  <wp:extent cx="3110865" cy="2456953"/>
                  <wp:effectExtent l="0" t="0" r="13335" b="635"/>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F9235A" w:rsidRPr="00345A1C" w14:paraId="5D4A5CC8" w14:textId="77777777" w:rsidTr="000220F7">
        <w:trPr>
          <w:trHeight w:val="423"/>
        </w:trPr>
        <w:tc>
          <w:tcPr>
            <w:tcW w:w="5103" w:type="dxa"/>
          </w:tcPr>
          <w:p w14:paraId="4FBE1C77" w14:textId="77777777" w:rsidR="00F9235A" w:rsidRPr="00BC2C75" w:rsidRDefault="00F9235A" w:rsidP="007C3BA1">
            <w:pPr>
              <w:rPr>
                <w:rFonts w:ascii="GHEA Grapalat" w:hAnsi="GHEA Grapalat"/>
                <w:sz w:val="16"/>
                <w:szCs w:val="16"/>
              </w:rPr>
            </w:pPr>
            <w:r w:rsidRPr="00345A1C">
              <w:rPr>
                <w:rFonts w:ascii="GHEA Grapalat" w:eastAsia="Calibri" w:hAnsi="GHEA Grapalat"/>
                <w:i/>
                <w:sz w:val="16"/>
                <w:szCs w:val="16"/>
              </w:rPr>
              <w:t>Աղբյուրը՝ Համաշխարհային բանկ</w:t>
            </w:r>
          </w:p>
        </w:tc>
        <w:tc>
          <w:tcPr>
            <w:tcW w:w="5103" w:type="dxa"/>
          </w:tcPr>
          <w:p w14:paraId="4B56D586" w14:textId="77777777" w:rsidR="00F9235A" w:rsidRPr="00BC2C75" w:rsidRDefault="00F9235A" w:rsidP="007C3BA1">
            <w:pPr>
              <w:rPr>
                <w:rFonts w:ascii="GHEA Grapalat" w:hAnsi="GHEA Grapalat"/>
                <w:sz w:val="16"/>
                <w:szCs w:val="16"/>
              </w:rPr>
            </w:pPr>
            <w:r w:rsidRPr="00345A1C">
              <w:rPr>
                <w:rFonts w:ascii="GHEA Grapalat" w:eastAsia="GHEA Grapalat" w:hAnsi="GHEA Grapalat" w:cs="GHEA Grapalat"/>
                <w:i/>
                <w:sz w:val="16"/>
                <w:szCs w:val="16"/>
              </w:rPr>
              <w:t>Աղբյուրը՝ ՄԱԿ–ի պարենի և գյուղատնտեսության կազմակերպություն</w:t>
            </w:r>
          </w:p>
        </w:tc>
      </w:tr>
    </w:tbl>
    <w:p w14:paraId="4D571EC3" w14:textId="77777777" w:rsidR="00217DFF" w:rsidRPr="00217DFF" w:rsidRDefault="00217DFF" w:rsidP="00217DFF">
      <w:pPr>
        <w:spacing w:line="276" w:lineRule="auto"/>
        <w:ind w:firstLine="567"/>
        <w:jc w:val="both"/>
        <w:rPr>
          <w:rFonts w:ascii="GHEA Grapalat" w:eastAsia="GHEA Grapalat" w:hAnsi="GHEA Grapalat" w:cs="GHEA Grapalat"/>
          <w:sz w:val="22"/>
          <w:szCs w:val="22"/>
        </w:rPr>
      </w:pPr>
    </w:p>
    <w:p w14:paraId="55D9FF6E" w14:textId="2035DC74" w:rsidR="00405178" w:rsidRPr="0049287E" w:rsidRDefault="00405178" w:rsidP="00EE4685">
      <w:pPr>
        <w:pStyle w:val="Heading3"/>
        <w:keepLines/>
        <w:numPr>
          <w:ilvl w:val="2"/>
          <w:numId w:val="43"/>
        </w:numPr>
        <w:tabs>
          <w:tab w:val="left" w:pos="709"/>
        </w:tabs>
        <w:spacing w:before="0" w:line="259" w:lineRule="auto"/>
        <w:ind w:left="0" w:firstLine="0"/>
        <w:rPr>
          <w:rFonts w:ascii="GHEA Grapalat" w:eastAsiaTheme="majorEastAsia" w:hAnsi="GHEA Grapalat" w:cstheme="majorBidi"/>
          <w:i w:val="0"/>
          <w:noProof w:val="0"/>
          <w:sz w:val="24"/>
          <w:szCs w:val="24"/>
          <w:u w:val="none"/>
        </w:rPr>
      </w:pPr>
      <w:r w:rsidRPr="0049287E">
        <w:rPr>
          <w:rFonts w:ascii="GHEA Grapalat" w:eastAsiaTheme="majorEastAsia" w:hAnsi="GHEA Grapalat" w:cstheme="majorBidi"/>
          <w:i w:val="0"/>
          <w:noProof w:val="0"/>
          <w:sz w:val="24"/>
          <w:szCs w:val="24"/>
          <w:u w:val="none"/>
        </w:rPr>
        <w:t>ՀՀ մակրոտնտեսական զարգացումներ</w:t>
      </w:r>
    </w:p>
    <w:p w14:paraId="2728F1AF" w14:textId="77777777" w:rsidR="00405178" w:rsidRPr="002D6455" w:rsidRDefault="00405178" w:rsidP="007E513A">
      <w:pPr>
        <w:pStyle w:val="Heading4"/>
        <w:numPr>
          <w:ilvl w:val="3"/>
          <w:numId w:val="43"/>
        </w:numPr>
        <w:ind w:left="567" w:firstLine="0"/>
        <w:rPr>
          <w:i w:val="0"/>
        </w:rPr>
      </w:pPr>
      <w:r w:rsidRPr="002D6455">
        <w:rPr>
          <w:i w:val="0"/>
        </w:rPr>
        <w:t>Համախառն առաջարկ և պահանջարկ</w:t>
      </w:r>
    </w:p>
    <w:p w14:paraId="091B24BB" w14:textId="13836257" w:rsidR="00E76988" w:rsidRPr="002D6455" w:rsidRDefault="00E76988" w:rsidP="00E76988">
      <w:pPr>
        <w:spacing w:line="276" w:lineRule="auto"/>
        <w:ind w:firstLine="567"/>
        <w:jc w:val="both"/>
        <w:rPr>
          <w:rFonts w:ascii="GHEA Grapalat" w:eastAsia="GHEA Grapalat" w:hAnsi="GHEA Grapalat" w:cs="GHEA Grapalat"/>
          <w:b/>
          <w:sz w:val="22"/>
          <w:szCs w:val="22"/>
        </w:rPr>
      </w:pPr>
      <w:r w:rsidRPr="002D6455">
        <w:rPr>
          <w:rFonts w:ascii="GHEA Grapalat" w:eastAsia="GHEA Grapalat" w:hAnsi="GHEA Grapalat" w:cs="GHEA Grapalat"/>
          <w:b/>
          <w:i/>
          <w:iCs/>
          <w:sz w:val="22"/>
          <w:szCs w:val="22"/>
        </w:rPr>
        <w:t xml:space="preserve">Համախառն առաջարկ: </w:t>
      </w:r>
      <w:r w:rsidRPr="002D6455">
        <w:rPr>
          <w:rFonts w:ascii="GHEA Grapalat" w:eastAsia="GHEA Grapalat" w:hAnsi="GHEA Grapalat" w:cs="GHEA Grapalat"/>
          <w:sz w:val="22"/>
          <w:szCs w:val="22"/>
        </w:rPr>
        <w:t>Մայիս ամսին գրանցվել է ՀՀ տնտեսական ակտիվության կտրուկ արագացում, որից հետո հունիսին տնտեսական ակտիվությունը դանդաղել է՝ մոտենալով մինչ այդ նկատվող մակարդակին: Արդյունքում</w:t>
      </w:r>
      <w:r w:rsidR="00F356D0">
        <w:rPr>
          <w:rFonts w:ascii="GHEA Grapalat" w:eastAsia="GHEA Grapalat" w:hAnsi="GHEA Grapalat" w:cs="GHEA Grapalat"/>
          <w:sz w:val="22"/>
          <w:szCs w:val="22"/>
        </w:rPr>
        <w:t>,</w:t>
      </w:r>
      <w:r w:rsidRPr="002D6455">
        <w:rPr>
          <w:rFonts w:ascii="GHEA Grapalat" w:eastAsia="GHEA Grapalat" w:hAnsi="GHEA Grapalat" w:cs="GHEA Grapalat"/>
          <w:sz w:val="22"/>
          <w:szCs w:val="22"/>
        </w:rPr>
        <w:t xml:space="preserve"> 2026թ. առաջին կիսամյակում նախորդ տարվա նույն ժամանակահատվածի համեմատ գրանցվել է տնտեսական ակտիվության 7.9% աճ։ Տնտեսական ակտիվության աճը </w:t>
      </w:r>
      <w:r w:rsidRPr="002D6455">
        <w:rPr>
          <w:rFonts w:ascii="GHEA Grapalat" w:hAnsi="GHEA Grapalat"/>
          <w:sz w:val="22"/>
          <w:szCs w:val="22"/>
        </w:rPr>
        <w:t xml:space="preserve">հիմնականում պայմանավորված է եղել ծառայությունների, արդյունաբերության և շինարարության աճերով </w:t>
      </w:r>
      <w:r w:rsidRPr="002D6455">
        <w:rPr>
          <w:rFonts w:ascii="GHEA Grapalat" w:eastAsia="GHEA Grapalat" w:hAnsi="GHEA Grapalat" w:cs="GHEA Grapalat"/>
          <w:sz w:val="22"/>
          <w:szCs w:val="22"/>
        </w:rPr>
        <w:t>(նպաստումները` համապատասխանաբար 5</w:t>
      </w:r>
      <w:r w:rsidRPr="002D6455">
        <w:rPr>
          <w:rFonts w:ascii="GHEA Grapalat" w:hAnsi="GHEA Grapalat"/>
          <w:sz w:val="22"/>
          <w:szCs w:val="22"/>
        </w:rPr>
        <w:t xml:space="preserve">.7, 1.9 և 1.7 տոկոսային կետեր): Առևտրի աճը ևս նպաստել է տնտեսական ակտիվությանը </w:t>
      </w:r>
      <w:r w:rsidRPr="002D6455">
        <w:rPr>
          <w:rFonts w:ascii="GHEA Grapalat" w:eastAsia="GHEA Grapalat" w:hAnsi="GHEA Grapalat" w:cs="GHEA Grapalat"/>
          <w:sz w:val="22"/>
          <w:szCs w:val="22"/>
        </w:rPr>
        <w:t>(նպաստումը` 0.1</w:t>
      </w:r>
      <w:r w:rsidRPr="002D6455">
        <w:rPr>
          <w:rFonts w:ascii="GHEA Grapalat" w:hAnsi="GHEA Grapalat"/>
          <w:sz w:val="22"/>
          <w:szCs w:val="22"/>
        </w:rPr>
        <w:t xml:space="preserve"> տոկոսային կետ)։ Մինչդեռ գյուղատնտեսությունը նվազել է՝ հակազդելով տնտեսական ակտիվությանը </w:t>
      </w:r>
      <w:r w:rsidRPr="002D6455">
        <w:rPr>
          <w:rFonts w:ascii="GHEA Grapalat" w:eastAsia="GHEA Grapalat" w:hAnsi="GHEA Grapalat" w:cs="GHEA Grapalat"/>
          <w:sz w:val="22"/>
          <w:szCs w:val="22"/>
        </w:rPr>
        <w:t>(բացասական նպաստումը` 1</w:t>
      </w:r>
      <w:r w:rsidRPr="002D6455">
        <w:rPr>
          <w:rFonts w:ascii="GHEA Grapalat" w:hAnsi="GHEA Grapalat"/>
          <w:sz w:val="22"/>
          <w:szCs w:val="22"/>
        </w:rPr>
        <w:t xml:space="preserve"> տոկոսային կետ):</w:t>
      </w:r>
    </w:p>
    <w:p w14:paraId="715CCDB5" w14:textId="38DBF758"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sz w:val="22"/>
          <w:szCs w:val="22"/>
        </w:rPr>
        <w:t>Տնտեսական զարգացումներին իր դրական նպաստումն է շարունակել ունենալ բնակարանային շինարարության ոլորտի բարձր աշխուժությունը, որն իր վրա է կրում դեռևս նախորդ տարիներին նորակառույց բնակարանների և բնակելի տների նկատմամբ ձևավորված բարձր պահանջարկի (որին նպաստել են հիպոտեկային վարկերի տոկոսագումարների դիմաց եկամտային հարկի վերադարձի ծրագիրը և ծրագրի՝ Երևան քաղաքից աստիճանական դուրսբերման վերաբերյալ օրենսդրական փոփոխությունները) բավարարմանն ուղղված շինարարական աշխատանքների շարունակության ազդեցությունը</w:t>
      </w:r>
      <w:r w:rsidR="00155360">
        <w:rPr>
          <w:rFonts w:ascii="GHEA Grapalat" w:eastAsia="GHEA Grapalat" w:hAnsi="GHEA Grapalat" w:cs="GHEA Grapalat"/>
          <w:sz w:val="22"/>
          <w:szCs w:val="22"/>
        </w:rPr>
        <w:t>:</w:t>
      </w:r>
    </w:p>
    <w:p w14:paraId="104C864D" w14:textId="7E4DBA6E"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b/>
          <w:i/>
          <w:iCs/>
          <w:sz w:val="22"/>
          <w:szCs w:val="22"/>
        </w:rPr>
        <w:t>Արդյունաբերություն</w:t>
      </w:r>
      <w:r w:rsidRPr="002D6455">
        <w:rPr>
          <w:rFonts w:ascii="GHEA Grapalat" w:eastAsia="GHEA Grapalat" w:hAnsi="GHEA Grapalat" w:cs="GHEA Grapalat"/>
          <w:bCs/>
          <w:sz w:val="22"/>
          <w:szCs w:val="22"/>
          <w:vertAlign w:val="superscript"/>
        </w:rPr>
        <w:footnoteReference w:id="8"/>
      </w:r>
      <w:r w:rsidRPr="002D6455">
        <w:rPr>
          <w:rFonts w:ascii="GHEA Grapalat" w:eastAsia="GHEA Grapalat" w:hAnsi="GHEA Grapalat" w:cs="GHEA Grapalat"/>
          <w:b/>
          <w:i/>
          <w:iCs/>
          <w:sz w:val="22"/>
          <w:szCs w:val="22"/>
        </w:rPr>
        <w:t>։</w:t>
      </w:r>
      <w:r w:rsidRPr="002D6455">
        <w:rPr>
          <w:rFonts w:ascii="GHEA Grapalat" w:eastAsia="GHEA Grapalat" w:hAnsi="GHEA Grapalat" w:cs="GHEA Grapalat"/>
          <w:b/>
          <w:sz w:val="22"/>
          <w:szCs w:val="22"/>
        </w:rPr>
        <w:t xml:space="preserve"> </w:t>
      </w:r>
      <w:r w:rsidRPr="002D6455">
        <w:rPr>
          <w:rFonts w:ascii="GHEA Grapalat" w:eastAsia="GHEA Grapalat" w:hAnsi="GHEA Grapalat" w:cs="GHEA Grapalat"/>
          <w:sz w:val="22"/>
          <w:szCs w:val="22"/>
        </w:rPr>
        <w:t>Արդյունաբերության՝ դեռևս նախորդ տարվա հուլիսից սկիզբ առած աճի տեմպերը շարունակվել են նաև ընթացիկ տարում:</w:t>
      </w:r>
      <w:r w:rsidRPr="002D6455">
        <w:rPr>
          <w:rFonts w:ascii="GHEA Grapalat" w:eastAsia="GHEA Grapalat" w:hAnsi="GHEA Grapalat" w:cs="GHEA Grapalat"/>
          <w:bCs/>
          <w:sz w:val="22"/>
          <w:szCs w:val="22"/>
        </w:rPr>
        <w:t xml:space="preserve"> 2026թ. առաջին կիսամյակում արդյունաբերության ճյուղում գրանցվել է 10.8% թողարկման աճ: Աճը </w:t>
      </w:r>
      <w:r w:rsidRPr="002D6455">
        <w:rPr>
          <w:rFonts w:ascii="GHEA Grapalat" w:eastAsia="GHEA Grapalat" w:hAnsi="GHEA Grapalat" w:cs="GHEA Grapalat"/>
          <w:sz w:val="22"/>
          <w:szCs w:val="22"/>
        </w:rPr>
        <w:t xml:space="preserve">հիմնականում պայմանավորված է եղել հանքագործական արդյունաբերություն և բացահանքերի շահագործում (մետաղական հանքաքարի արդյունահանում), ինչպես նաև մշակող արդյունաբերություն ենթաճյուղերի աճերով (նպաստումները՝ համապատասխանաբար՝ 5.1 և 5.0 տոկոսային կետեր): Արդյունաբերության աճին նպաստել են նաև էլեկտրաէներգիայի, գազի, գոլորշու և լավորակ օդի մատակարարում, ինչպես նաև ջրամատակարարում, կոյուղի, թափոնների կառավարում և վերամշակում ենթաճյուղերի աճերը (նպաստումները` </w:t>
      </w:r>
      <w:r w:rsidR="0051409D">
        <w:rPr>
          <w:rFonts w:ascii="GHEA Grapalat" w:eastAsia="GHEA Grapalat" w:hAnsi="GHEA Grapalat" w:cs="GHEA Grapalat"/>
          <w:sz w:val="22"/>
          <w:szCs w:val="22"/>
        </w:rPr>
        <w:t>համապատասխանաբար</w:t>
      </w:r>
      <w:r w:rsidRPr="002D6455">
        <w:rPr>
          <w:rFonts w:ascii="GHEA Grapalat" w:eastAsia="GHEA Grapalat" w:hAnsi="GHEA Grapalat" w:cs="GHEA Grapalat"/>
          <w:sz w:val="22"/>
          <w:szCs w:val="22"/>
        </w:rPr>
        <w:t xml:space="preserve"> 0.7 և 0.1 տոկոսային կետեր): </w:t>
      </w:r>
    </w:p>
    <w:p w14:paraId="62C90107" w14:textId="09F50E08"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sz w:val="22"/>
          <w:szCs w:val="22"/>
        </w:rPr>
        <w:t>Մշակող արդյունաբերության աճը պայմանավորված է եղել ինչպես արտերկրում, այնպես էլ երկրի ներսում իրացման ծավալների աճով: Ենթաճյուղի</w:t>
      </w:r>
      <w:r w:rsidRPr="002D6455">
        <w:rPr>
          <w:rFonts w:ascii="GHEA Grapalat" w:eastAsia="GHEA Grapalat" w:hAnsi="GHEA Grapalat" w:cs="Arial"/>
          <w:sz w:val="22"/>
          <w:szCs w:val="22"/>
        </w:rPr>
        <w:t xml:space="preserve"> </w:t>
      </w:r>
      <w:r w:rsidRPr="002D6455">
        <w:rPr>
          <w:rFonts w:ascii="GHEA Grapalat" w:eastAsia="GHEA Grapalat" w:hAnsi="GHEA Grapalat" w:cs="GHEA Grapalat"/>
          <w:sz w:val="22"/>
          <w:szCs w:val="22"/>
        </w:rPr>
        <w:t>աճը հիմնականում պայմանավորված է եղել հիմնային մետաղների, սննդամթերքի, խմիչքների, ինչպես նաև քիմիական նյութերի և քիմիական արտադրատեսակների արտադրությունների աճերով (նպաստումները` համապատասխանաբար 3.5, 1.9, 1.8 և 1.2 տոկոսային կետեր):</w:t>
      </w:r>
    </w:p>
    <w:p w14:paraId="54394734" w14:textId="79926934" w:rsidR="00E76988" w:rsidRPr="002D6455" w:rsidRDefault="00E76988" w:rsidP="00E76988">
      <w:pPr>
        <w:spacing w:line="276" w:lineRule="auto"/>
        <w:ind w:firstLine="567"/>
        <w:jc w:val="both"/>
        <w:rPr>
          <w:rFonts w:ascii="GHEA Grapalat" w:eastAsia="GHEA Grapalat" w:hAnsi="GHEA Grapalat" w:cs="GHEA Grapalat"/>
          <w:sz w:val="22"/>
          <w:szCs w:val="22"/>
        </w:rPr>
      </w:pPr>
      <w:r w:rsidRPr="00634332">
        <w:rPr>
          <w:rFonts w:ascii="GHEA Grapalat" w:eastAsia="GHEA Grapalat" w:hAnsi="GHEA Grapalat" w:cs="GHEA Grapalat"/>
          <w:b/>
          <w:i/>
          <w:iCs/>
          <w:sz w:val="22"/>
          <w:szCs w:val="22"/>
        </w:rPr>
        <w:t>Գյուղատնտեսություն։</w:t>
      </w:r>
      <w:r w:rsidRPr="00634332">
        <w:rPr>
          <w:rFonts w:ascii="GHEA Grapalat" w:eastAsia="GHEA Grapalat" w:hAnsi="GHEA Grapalat" w:cs="GHEA Grapalat"/>
          <w:b/>
          <w:sz w:val="22"/>
          <w:szCs w:val="22"/>
        </w:rPr>
        <w:t xml:space="preserve"> </w:t>
      </w:r>
      <w:r w:rsidRPr="00634332">
        <w:rPr>
          <w:rFonts w:ascii="GHEA Grapalat" w:eastAsia="GHEA Grapalat" w:hAnsi="GHEA Grapalat" w:cs="GHEA Grapalat"/>
          <w:bCs/>
          <w:sz w:val="22"/>
          <w:szCs w:val="22"/>
        </w:rPr>
        <w:t>2026թ. առաջին կիսամյակում</w:t>
      </w:r>
      <w:r w:rsidRPr="00634332">
        <w:rPr>
          <w:rFonts w:ascii="GHEA Grapalat" w:eastAsia="GHEA Grapalat" w:hAnsi="GHEA Grapalat" w:cs="GHEA Grapalat"/>
          <w:sz w:val="22"/>
          <w:szCs w:val="22"/>
        </w:rPr>
        <w:t xml:space="preserve"> գ</w:t>
      </w:r>
      <w:r w:rsidRPr="00634332">
        <w:rPr>
          <w:rFonts w:ascii="GHEA Grapalat" w:eastAsia="GHEA Grapalat" w:hAnsi="GHEA Grapalat" w:cs="GHEA Grapalat"/>
          <w:bCs/>
          <w:sz w:val="22"/>
          <w:szCs w:val="22"/>
        </w:rPr>
        <w:t>յուղատնտեսության, անտառային</w:t>
      </w:r>
      <w:r w:rsidRPr="002D6455">
        <w:rPr>
          <w:rFonts w:ascii="GHEA Grapalat" w:eastAsia="GHEA Grapalat" w:hAnsi="GHEA Grapalat" w:cs="GHEA Grapalat"/>
          <w:bCs/>
          <w:sz w:val="22"/>
          <w:szCs w:val="22"/>
        </w:rPr>
        <w:t xml:space="preserve"> տնտեսության և ձկնորսության համախառն արտադրանքը նվազել է 10.2%-ով՝</w:t>
      </w:r>
      <w:r w:rsidRPr="002D6455">
        <w:rPr>
          <w:rFonts w:ascii="GHEA Grapalat" w:eastAsia="GHEA Grapalat" w:hAnsi="GHEA Grapalat" w:cs="GHEA Grapalat"/>
          <w:sz w:val="22"/>
          <w:szCs w:val="22"/>
        </w:rPr>
        <w:t xml:space="preserve"> պայմանավորված բուսաբուծության և անասնաբուծության նվազումներով (բացասական </w:t>
      </w:r>
      <w:r w:rsidRPr="002D6455">
        <w:rPr>
          <w:rFonts w:ascii="GHEA Grapalat" w:eastAsia="GHEA Grapalat" w:hAnsi="GHEA Grapalat" w:cs="Sylfaen"/>
          <w:sz w:val="22"/>
          <w:szCs w:val="22"/>
        </w:rPr>
        <w:t>նպաստումները</w:t>
      </w:r>
      <w:r w:rsidRPr="002D6455">
        <w:rPr>
          <w:rFonts w:ascii="GHEA Grapalat" w:eastAsia="GHEA Grapalat" w:hAnsi="GHEA Grapalat" w:cs="GHEA Grapalat"/>
          <w:sz w:val="22"/>
          <w:szCs w:val="22"/>
        </w:rPr>
        <w:t xml:space="preserve">` համապատասխանաբար` 9.4 և 1.2 </w:t>
      </w:r>
      <w:r w:rsidRPr="002D6455">
        <w:rPr>
          <w:rFonts w:ascii="GHEA Grapalat" w:eastAsia="GHEA Grapalat" w:hAnsi="GHEA Grapalat" w:cs="Sylfaen"/>
          <w:sz w:val="22"/>
          <w:szCs w:val="22"/>
        </w:rPr>
        <w:t>տոկոսային</w:t>
      </w:r>
      <w:r w:rsidRPr="002D6455">
        <w:rPr>
          <w:rFonts w:ascii="GHEA Grapalat" w:eastAsia="GHEA Grapalat" w:hAnsi="GHEA Grapalat" w:cs="GHEA Grapalat"/>
          <w:sz w:val="22"/>
          <w:szCs w:val="22"/>
        </w:rPr>
        <w:t xml:space="preserve"> </w:t>
      </w:r>
      <w:r w:rsidRPr="002D6455">
        <w:rPr>
          <w:rFonts w:ascii="GHEA Grapalat" w:eastAsia="GHEA Grapalat" w:hAnsi="GHEA Grapalat" w:cs="Sylfaen"/>
          <w:sz w:val="22"/>
          <w:szCs w:val="22"/>
        </w:rPr>
        <w:t xml:space="preserve">կետեր)։ Բուսաբուծության նվազումն իր հերթին պայմանավորված է եղել բոստանի, հացահատիկի և հատիկաընդեղենի, պտղի և հատապտղի, </w:t>
      </w:r>
      <w:r w:rsidRPr="002D6455">
        <w:rPr>
          <w:rFonts w:ascii="GHEA Grapalat" w:eastAsia="GHEA Grapalat" w:hAnsi="GHEA Grapalat" w:cs="Sylfaen"/>
          <w:sz w:val="22"/>
          <w:szCs w:val="22"/>
        </w:rPr>
        <w:lastRenderedPageBreak/>
        <w:t xml:space="preserve">բանջարեղենի, ինչպես նաև կարտոֆիլի </w:t>
      </w:r>
      <w:r w:rsidR="00102CB1">
        <w:rPr>
          <w:rFonts w:ascii="GHEA Grapalat" w:eastAsia="GHEA Grapalat" w:hAnsi="GHEA Grapalat" w:cs="Sylfaen"/>
          <w:sz w:val="22"/>
          <w:szCs w:val="22"/>
        </w:rPr>
        <w:t xml:space="preserve">համախառն բերքի </w:t>
      </w:r>
      <w:r w:rsidRPr="002D6455">
        <w:rPr>
          <w:rFonts w:ascii="GHEA Grapalat" w:eastAsia="GHEA Grapalat" w:hAnsi="GHEA Grapalat" w:cs="Sylfaen"/>
          <w:sz w:val="22"/>
          <w:szCs w:val="22"/>
        </w:rPr>
        <w:t xml:space="preserve">նվազմամբ: </w:t>
      </w:r>
      <w:r w:rsidRPr="002D6455">
        <w:rPr>
          <w:rFonts w:ascii="GHEA Grapalat" w:eastAsia="GHEA Grapalat" w:hAnsi="GHEA Grapalat" w:cs="GHEA Grapalat"/>
          <w:sz w:val="22"/>
          <w:szCs w:val="22"/>
        </w:rPr>
        <w:t>Անասնաբուծության նվազումն իր հերթին պայմանավորված է եղել ձվի և կաթի արտադրության, ինչպես նաև սպանդի համար գյուղատնտեսական կենդանու և թռչնի իրացման նվազմամբ:</w:t>
      </w:r>
      <w:r w:rsidRPr="002D6455">
        <w:rPr>
          <w:rFonts w:ascii="GHEA Grapalat" w:eastAsia="GHEA Grapalat" w:hAnsi="GHEA Grapalat" w:cs="Sylfaen"/>
          <w:sz w:val="22"/>
          <w:szCs w:val="22"/>
        </w:rPr>
        <w:t xml:space="preserve"> Ձկնորսությունը և անտառային տնտեսությունն աճել են՝ նպաստելով գյուղատնտեսության աճին (նպաստումները՝ համապատասխանաբար 0.3 և 0.2 տոկոսային կետեր</w:t>
      </w:r>
      <w:r w:rsidR="0024235F">
        <w:rPr>
          <w:rFonts w:ascii="GHEA Grapalat" w:eastAsia="GHEA Grapalat" w:hAnsi="GHEA Grapalat" w:cs="Sylfaen"/>
          <w:sz w:val="22"/>
          <w:szCs w:val="22"/>
        </w:rPr>
        <w:t>):</w:t>
      </w:r>
    </w:p>
    <w:p w14:paraId="346D71AE" w14:textId="77777777" w:rsidR="00E76988" w:rsidRPr="002D6455" w:rsidRDefault="00E76988" w:rsidP="00E76988">
      <w:pPr>
        <w:spacing w:line="276" w:lineRule="auto"/>
        <w:ind w:firstLine="567"/>
        <w:jc w:val="both"/>
        <w:rPr>
          <w:rFonts w:ascii="GHEA Grapalat" w:eastAsia="GHEA Grapalat" w:hAnsi="GHEA Grapalat" w:cs="Sylfaen"/>
          <w:sz w:val="22"/>
          <w:szCs w:val="22"/>
        </w:rPr>
      </w:pPr>
      <w:r w:rsidRPr="002D6455">
        <w:rPr>
          <w:rFonts w:ascii="GHEA Grapalat" w:eastAsia="GHEA Grapalat" w:hAnsi="GHEA Grapalat" w:cs="GHEA Grapalat"/>
          <w:b/>
          <w:i/>
          <w:iCs/>
          <w:sz w:val="22"/>
          <w:szCs w:val="22"/>
        </w:rPr>
        <w:t>Շինարարություն։</w:t>
      </w:r>
      <w:r w:rsidRPr="002D6455">
        <w:rPr>
          <w:rFonts w:ascii="GHEA Grapalat" w:eastAsia="GHEA Grapalat" w:hAnsi="GHEA Grapalat" w:cs="GHEA Grapalat"/>
          <w:sz w:val="22"/>
          <w:szCs w:val="22"/>
        </w:rPr>
        <w:t xml:space="preserve"> Շինարարության ճյուղում գրանցված 24.5% աճը հիմնականում պայմանավորված է եղել կազմակերպությունների, բնակչության, պետական բյուջեի և համայնքների միջոցներով իրականացված շինարարության ծավալների աճով (նպաստումները` համապատասխանաբար՝ 13.5, 4.4, 3.7 և 2.7 տոկոսային կետեր): Կազմակերպությունների և բնակչության միջոցներով ֆինանսավորվող շինարարության աճերը վկայում են ներքին միջոցներով իրականացվող մասնավոր ներդրումների աճի մասին (պայմանավորված հիմնականում բնակարանային շինարարության ծավալների աճով</w:t>
      </w:r>
      <w:r w:rsidRPr="002D6455">
        <w:rPr>
          <w:rFonts w:ascii="GHEA Grapalat" w:eastAsia="GHEA Grapalat" w:hAnsi="GHEA Grapalat" w:cs="Sylfaen"/>
          <w:sz w:val="22"/>
          <w:szCs w:val="22"/>
        </w:rPr>
        <w:t>)։</w:t>
      </w:r>
    </w:p>
    <w:p w14:paraId="65AEE73E" w14:textId="77777777"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sz w:val="22"/>
          <w:szCs w:val="22"/>
        </w:rPr>
        <w:t>Ըստ տնտեսական գործունեության տեսակների՝ շինարարության աճին հիմնականում նպաստել են անշարժ գույքի հետ կապված գործունեություն (հիմնականում՝ բնակարանաշինություն), կրթություն, ինչպես նաև էլեկտրականության, գազի, գոլորշու և լավորակ օդի մատակարարում ոլորտներում շինարարության ծավալների աճերը:</w:t>
      </w:r>
    </w:p>
    <w:p w14:paraId="01EA16DC" w14:textId="41936D53"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b/>
          <w:i/>
          <w:iCs/>
          <w:sz w:val="22"/>
          <w:szCs w:val="22"/>
        </w:rPr>
        <w:t>Ծառայություններ և առևտուր։</w:t>
      </w:r>
      <w:r w:rsidRPr="002D6455">
        <w:rPr>
          <w:rFonts w:ascii="GHEA Grapalat" w:eastAsia="GHEA Grapalat" w:hAnsi="GHEA Grapalat" w:cs="GHEA Grapalat"/>
          <w:b/>
          <w:sz w:val="22"/>
          <w:szCs w:val="22"/>
        </w:rPr>
        <w:t xml:space="preserve"> </w:t>
      </w:r>
      <w:r w:rsidRPr="002D6455">
        <w:rPr>
          <w:rFonts w:ascii="GHEA Grapalat" w:eastAsia="GHEA Grapalat" w:hAnsi="GHEA Grapalat" w:cs="GHEA Grapalat"/>
          <w:bCs/>
          <w:sz w:val="22"/>
          <w:szCs w:val="22"/>
        </w:rPr>
        <w:t>Ծառայություններ</w:t>
      </w:r>
      <w:r w:rsidR="00A47431">
        <w:rPr>
          <w:rFonts w:ascii="GHEA Grapalat" w:eastAsia="GHEA Grapalat" w:hAnsi="GHEA Grapalat" w:cs="GHEA Grapalat"/>
          <w:bCs/>
          <w:sz w:val="22"/>
          <w:szCs w:val="22"/>
        </w:rPr>
        <w:t>ի թողարկում</w:t>
      </w:r>
      <w:r w:rsidRPr="002D6455">
        <w:rPr>
          <w:rFonts w:ascii="GHEA Grapalat" w:eastAsia="GHEA Grapalat" w:hAnsi="GHEA Grapalat" w:cs="GHEA Grapalat"/>
          <w:bCs/>
          <w:sz w:val="22"/>
          <w:szCs w:val="22"/>
        </w:rPr>
        <w:t xml:space="preserve">ն աճել </w:t>
      </w:r>
      <w:r w:rsidR="00193382">
        <w:rPr>
          <w:rFonts w:ascii="GHEA Grapalat" w:eastAsia="GHEA Grapalat" w:hAnsi="GHEA Grapalat" w:cs="GHEA Grapalat"/>
          <w:bCs/>
          <w:sz w:val="22"/>
          <w:szCs w:val="22"/>
        </w:rPr>
        <w:t>է</w:t>
      </w:r>
      <w:r w:rsidR="00193382" w:rsidRPr="002D6455">
        <w:rPr>
          <w:rFonts w:ascii="GHEA Grapalat" w:eastAsia="GHEA Grapalat" w:hAnsi="GHEA Grapalat" w:cs="GHEA Grapalat"/>
          <w:bCs/>
          <w:sz w:val="22"/>
          <w:szCs w:val="22"/>
        </w:rPr>
        <w:t xml:space="preserve"> </w:t>
      </w:r>
      <w:r w:rsidR="0024235F">
        <w:rPr>
          <w:rFonts w:ascii="GHEA Grapalat" w:eastAsia="GHEA Grapalat" w:hAnsi="GHEA Grapalat" w:cs="GHEA Grapalat"/>
          <w:bCs/>
          <w:sz w:val="22"/>
          <w:szCs w:val="22"/>
        </w:rPr>
        <w:t>11</w:t>
      </w:r>
      <w:r w:rsidRPr="002D6455">
        <w:rPr>
          <w:rFonts w:ascii="GHEA Grapalat" w:eastAsia="GHEA Grapalat" w:hAnsi="GHEA Grapalat" w:cs="GHEA Grapalat"/>
          <w:bCs/>
          <w:sz w:val="22"/>
          <w:szCs w:val="22"/>
        </w:rPr>
        <w:t>%-ով՝</w:t>
      </w:r>
      <w:r w:rsidRPr="002D6455">
        <w:rPr>
          <w:rFonts w:ascii="GHEA Grapalat" w:eastAsia="GHEA Grapalat" w:hAnsi="GHEA Grapalat" w:cs="GHEA Grapalat"/>
          <w:b/>
          <w:sz w:val="22"/>
          <w:szCs w:val="22"/>
        </w:rPr>
        <w:t xml:space="preserve"> </w:t>
      </w:r>
      <w:r w:rsidRPr="002D6455">
        <w:rPr>
          <w:rFonts w:ascii="GHEA Grapalat" w:eastAsia="GHEA Grapalat" w:hAnsi="GHEA Grapalat" w:cs="GHEA Grapalat"/>
          <w:sz w:val="22"/>
          <w:szCs w:val="22"/>
        </w:rPr>
        <w:t>հիմնականում պայմանավորված տեղեկատվություն և կապ (մասնավորապես՝ տեղեկատվական տեխնոլոգիաներ), ֆինանսական և ապահովագրական գործունեություն (մասնավորապես՝ բանկերի գործունեություն), տրանսպորտ (մասնավորապես՝ օդային և ցամաքային տրանսպորտ), ինչպես նաև կացության և հանրային սննդի կազմակերպում (մասնավորապես՝ ռեստորաններ և հանրային սննդի շարժական կետեր) ենթաճյուղերի աճերով (</w:t>
      </w:r>
      <w:r w:rsidRPr="002D6455">
        <w:rPr>
          <w:rFonts w:ascii="GHEA Grapalat" w:eastAsia="GHEA Grapalat" w:hAnsi="GHEA Grapalat" w:cs="Sylfaen"/>
          <w:sz w:val="22"/>
          <w:szCs w:val="22"/>
        </w:rPr>
        <w:t>նպաստումները</w:t>
      </w:r>
      <w:r w:rsidRPr="002D6455">
        <w:rPr>
          <w:rFonts w:ascii="GHEA Grapalat" w:eastAsia="GHEA Grapalat" w:hAnsi="GHEA Grapalat" w:cs="GHEA Grapalat"/>
          <w:sz w:val="22"/>
          <w:szCs w:val="22"/>
        </w:rPr>
        <w:t xml:space="preserve">` համապատասխանաբար՝ 2.8, 2.7, 1.8 և 1.1 տոկոսային </w:t>
      </w:r>
      <w:r w:rsidRPr="002D6455">
        <w:rPr>
          <w:rFonts w:ascii="GHEA Grapalat" w:eastAsia="GHEA Grapalat" w:hAnsi="GHEA Grapalat" w:cs="Sylfaen"/>
          <w:sz w:val="22"/>
          <w:szCs w:val="22"/>
        </w:rPr>
        <w:t>կետեր):</w:t>
      </w:r>
    </w:p>
    <w:p w14:paraId="0C7BA787" w14:textId="2919989B"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sz w:val="22"/>
          <w:szCs w:val="22"/>
        </w:rPr>
        <w:t>Առևտրի 0.9% աճը հիմնականում պայմանավորված է եղել մանրածախ առևտրի աճով (նպաստումը՝</w:t>
      </w:r>
      <w:r w:rsidR="005E3223">
        <w:rPr>
          <w:rFonts w:ascii="GHEA Grapalat" w:eastAsia="GHEA Grapalat" w:hAnsi="GHEA Grapalat" w:cs="GHEA Grapalat"/>
          <w:sz w:val="22"/>
          <w:szCs w:val="22"/>
        </w:rPr>
        <w:t xml:space="preserve"> 2</w:t>
      </w:r>
      <w:r w:rsidRPr="002D6455">
        <w:rPr>
          <w:rFonts w:ascii="GHEA Grapalat" w:eastAsia="GHEA Grapalat" w:hAnsi="GHEA Grapalat" w:cs="GHEA Grapalat"/>
          <w:sz w:val="22"/>
          <w:szCs w:val="22"/>
        </w:rPr>
        <w:t xml:space="preserve"> տոկոսային կետ)։ Մեծածախ առևտուրը նվազել է՝ հակազդելով ընդհանուր առևտրի աճին (բացասական նպաստումը՝ 1.3 տոկոսային կետ): Առևտրի և ծառայությունների աճն ուղեկցվել է ներքին պահանջարկի (մասնավորապես՝ մասնավոր սպառման) աճով: </w:t>
      </w:r>
    </w:p>
    <w:p w14:paraId="7ED6A2F5" w14:textId="0696B801"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bCs/>
          <w:sz w:val="22"/>
          <w:szCs w:val="22"/>
        </w:rPr>
        <w:t>Հաշվետու ժամանակահատվածում ուղևորափոխադրումների և բեռնափոխադրումների ծավալներն աճել են:</w:t>
      </w:r>
      <w:r w:rsidRPr="002D6455">
        <w:rPr>
          <w:rFonts w:ascii="GHEA Grapalat" w:eastAsia="GHEA Grapalat" w:hAnsi="GHEA Grapalat" w:cs="GHEA Grapalat"/>
          <w:sz w:val="22"/>
          <w:szCs w:val="22"/>
        </w:rPr>
        <w:t xml:space="preserve"> Ուղևորափոխադրումների 10% աճը հիմնականում պայմանավորված է եղել ավտոմոբիլային ուղևորափոխադրումների աճով (նպաստումը՝ 7.6 տոկոսային կետ): Ուղևորափոխադրումների աճին նպաստել է նաև էլեկտրատրանսպորտով փոխադրումների աճը (նպաստումը՝ 2.3 տոկոսային կետ): Բեռնափոխադրումների ծավալի 4.2% աճը հիմնականում պայմանավորված է եղել երկաթուղային, ինչպես նաև մայրուղային խողովակաշարային բեռնափոխադրումների աճով (նպաստումները՝ համապատասխանաբար` 2.4 և 2.2 տոկոսային կետեր):</w:t>
      </w:r>
    </w:p>
    <w:p w14:paraId="0B369BB1" w14:textId="77777777" w:rsidR="00E76988" w:rsidRPr="002D6455" w:rsidRDefault="00E76988" w:rsidP="00E76988">
      <w:pPr>
        <w:spacing w:line="276" w:lineRule="auto"/>
        <w:ind w:firstLine="567"/>
        <w:jc w:val="both"/>
        <w:rPr>
          <w:rFonts w:ascii="GHEA Grapalat" w:eastAsia="GHEA Grapalat" w:hAnsi="GHEA Grapalat" w:cs="GHEA Grapalat"/>
          <w:sz w:val="22"/>
          <w:szCs w:val="22"/>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5"/>
        <w:gridCol w:w="5003"/>
      </w:tblGrid>
      <w:tr w:rsidR="00E76988" w:rsidRPr="002D6455" w14:paraId="53D70578" w14:textId="77777777" w:rsidTr="00593BD4">
        <w:trPr>
          <w:trHeight w:val="4225"/>
        </w:trPr>
        <w:tc>
          <w:tcPr>
            <w:tcW w:w="5237" w:type="dxa"/>
            <w:shd w:val="clear" w:color="auto" w:fill="auto"/>
          </w:tcPr>
          <w:p w14:paraId="48FF81E2" w14:textId="77777777" w:rsidR="00E76988" w:rsidRPr="002D6455" w:rsidRDefault="00E76988" w:rsidP="006B6F92">
            <w:pPr>
              <w:pStyle w:val="ListParagraph"/>
              <w:keepNext/>
              <w:keepLines/>
              <w:numPr>
                <w:ilvl w:val="0"/>
                <w:numId w:val="42"/>
              </w:numPr>
              <w:tabs>
                <w:tab w:val="left" w:pos="0"/>
                <w:tab w:val="left" w:pos="284"/>
                <w:tab w:val="left" w:pos="1134"/>
                <w:tab w:val="left" w:pos="1276"/>
                <w:tab w:val="left" w:pos="1418"/>
                <w:tab w:val="left" w:pos="1888"/>
              </w:tabs>
              <w:autoSpaceDE w:val="0"/>
              <w:autoSpaceDN w:val="0"/>
              <w:adjustRightInd w:val="0"/>
              <w:spacing w:after="0"/>
              <w:ind w:left="0" w:firstLine="0"/>
              <w:rPr>
                <w:rFonts w:ascii="GHEA Grapalat" w:hAnsi="GHEA Grapalat" w:cs="Sylfaen"/>
                <w:b/>
                <w:sz w:val="16"/>
                <w:szCs w:val="16"/>
                <w:lang w:val="hy-AM"/>
              </w:rPr>
            </w:pPr>
            <w:r w:rsidRPr="002D6455">
              <w:rPr>
                <w:rFonts w:ascii="GHEA Grapalat" w:hAnsi="GHEA Grapalat" w:cs="Sylfaen"/>
                <w:b/>
                <w:sz w:val="18"/>
                <w:szCs w:val="18"/>
                <w:lang w:val="hy-AM"/>
              </w:rPr>
              <w:lastRenderedPageBreak/>
              <w:t>ՏԱՑ</w:t>
            </w:r>
            <w:r w:rsidRPr="002D6455">
              <w:rPr>
                <w:rFonts w:ascii="GHEA Grapalat" w:hAnsi="GHEA Grapalat" w:cs="Sylfaen"/>
                <w:b/>
                <w:sz w:val="18"/>
                <w:szCs w:val="16"/>
                <w:lang w:val="hy-AM"/>
              </w:rPr>
              <w:t xml:space="preserve"> և տնտեսության ճյուղերի իրական աճերը նախորդ տարվա նույն ժամանակահատվածի նկատմամբ (%)</w:t>
            </w:r>
          </w:p>
          <w:p w14:paraId="0D2697DE" w14:textId="77777777" w:rsidR="00E76988" w:rsidRPr="002D6455" w:rsidRDefault="00E76988" w:rsidP="00593BD4">
            <w:pPr>
              <w:tabs>
                <w:tab w:val="right" w:pos="0"/>
              </w:tabs>
              <w:spacing w:after="0"/>
              <w:contextualSpacing/>
              <w:rPr>
                <w:rFonts w:ascii="GHEA Grapalat" w:hAnsi="GHEA Grapalat"/>
                <w:sz w:val="16"/>
                <w:szCs w:val="16"/>
              </w:rPr>
            </w:pPr>
            <w:r w:rsidRPr="002D6455">
              <w:rPr>
                <w:rFonts w:ascii="GHEA Grapalat" w:hAnsi="GHEA Grapalat"/>
                <w:lang w:val="en-US"/>
              </w:rPr>
              <w:drawing>
                <wp:inline distT="0" distB="0" distL="0" distR="0" wp14:anchorId="35D99224" wp14:editId="76C83B47">
                  <wp:extent cx="3064510" cy="1885315"/>
                  <wp:effectExtent l="0" t="0" r="2540" b="63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C9CCE2E" w14:textId="77777777" w:rsidR="00E76988" w:rsidRPr="002D6455" w:rsidRDefault="00E76988" w:rsidP="00593BD4">
            <w:pPr>
              <w:tabs>
                <w:tab w:val="right" w:pos="0"/>
              </w:tabs>
              <w:spacing w:after="0"/>
              <w:contextualSpacing/>
              <w:jc w:val="both"/>
              <w:rPr>
                <w:rFonts w:ascii="GHEA Grapalat" w:hAnsi="GHEA Grapalat"/>
                <w:i/>
                <w:sz w:val="16"/>
                <w:szCs w:val="16"/>
              </w:rPr>
            </w:pPr>
            <w:r w:rsidRPr="002D6455">
              <w:rPr>
                <w:rFonts w:ascii="GHEA Grapalat" w:hAnsi="GHEA Grapalat"/>
                <w:i/>
                <w:sz w:val="16"/>
                <w:szCs w:val="16"/>
              </w:rPr>
              <w:t>Աղբյուր. ՀՀ վիճակագրական կոմիտե</w:t>
            </w:r>
          </w:p>
        </w:tc>
        <w:tc>
          <w:tcPr>
            <w:tcW w:w="5008" w:type="dxa"/>
            <w:shd w:val="clear" w:color="auto" w:fill="auto"/>
          </w:tcPr>
          <w:p w14:paraId="469E8CD5" w14:textId="77777777" w:rsidR="00E76988" w:rsidRPr="002D6455" w:rsidRDefault="00E76988" w:rsidP="00593BD4">
            <w:pPr>
              <w:pStyle w:val="ListParagraph"/>
              <w:keepNext/>
              <w:keepLines/>
              <w:numPr>
                <w:ilvl w:val="0"/>
                <w:numId w:val="42"/>
              </w:numPr>
              <w:tabs>
                <w:tab w:val="left" w:pos="0"/>
                <w:tab w:val="left" w:pos="284"/>
                <w:tab w:val="left" w:pos="1134"/>
                <w:tab w:val="left" w:pos="1276"/>
                <w:tab w:val="left" w:pos="1418"/>
                <w:tab w:val="left" w:pos="1888"/>
              </w:tabs>
              <w:autoSpaceDE w:val="0"/>
              <w:autoSpaceDN w:val="0"/>
              <w:adjustRightInd w:val="0"/>
              <w:spacing w:after="0"/>
              <w:ind w:left="0" w:firstLine="0"/>
              <w:jc w:val="both"/>
              <w:rPr>
                <w:rFonts w:ascii="GHEA Grapalat" w:hAnsi="GHEA Grapalat" w:cs="Sylfaen"/>
                <w:b/>
                <w:sz w:val="16"/>
                <w:szCs w:val="16"/>
                <w:lang w:val="hy-AM"/>
              </w:rPr>
            </w:pPr>
            <w:r w:rsidRPr="002D6455">
              <w:rPr>
                <w:rFonts w:ascii="GHEA Grapalat" w:hAnsi="GHEA Grapalat" w:cs="Sylfaen"/>
                <w:b/>
                <w:sz w:val="18"/>
                <w:szCs w:val="16"/>
                <w:lang w:val="hy-AM"/>
              </w:rPr>
              <w:t>ՏԱՑ և տնտեսության ճյուղերի իրական աճերը նախորդ տարվա նույն ամսվա նկատմամբ (%)</w:t>
            </w:r>
          </w:p>
          <w:p w14:paraId="4B8DA437" w14:textId="77777777" w:rsidR="00E76988" w:rsidRPr="002D6455" w:rsidRDefault="00E76988" w:rsidP="00593BD4">
            <w:pPr>
              <w:pStyle w:val="ListParagraph"/>
              <w:keepNext/>
              <w:keepLines/>
              <w:tabs>
                <w:tab w:val="left" w:pos="0"/>
                <w:tab w:val="left" w:pos="284"/>
                <w:tab w:val="left" w:pos="1134"/>
                <w:tab w:val="left" w:pos="1276"/>
                <w:tab w:val="left" w:pos="1418"/>
                <w:tab w:val="left" w:pos="1888"/>
              </w:tabs>
              <w:autoSpaceDE w:val="0"/>
              <w:autoSpaceDN w:val="0"/>
              <w:adjustRightInd w:val="0"/>
              <w:spacing w:after="0"/>
              <w:ind w:left="0"/>
              <w:jc w:val="both"/>
              <w:rPr>
                <w:rFonts w:ascii="GHEA Grapalat" w:hAnsi="GHEA Grapalat" w:cs="Sylfaen"/>
                <w:b/>
                <w:sz w:val="16"/>
                <w:szCs w:val="16"/>
                <w:lang w:val="hy-AM"/>
              </w:rPr>
            </w:pPr>
            <w:r w:rsidRPr="002D6455">
              <w:rPr>
                <w:rFonts w:ascii="GHEA Grapalat" w:hAnsi="GHEA Grapalat"/>
                <w:b/>
                <w:noProof/>
                <w:sz w:val="18"/>
                <w:szCs w:val="16"/>
                <w:lang w:val="en-US" w:eastAsia="en-US"/>
              </w:rPr>
              <w:drawing>
                <wp:anchor distT="0" distB="0" distL="114300" distR="114300" simplePos="0" relativeHeight="251712000" behindDoc="1" locked="0" layoutInCell="1" allowOverlap="1" wp14:anchorId="7A970894" wp14:editId="36E89E13">
                  <wp:simplePos x="0" y="0"/>
                  <wp:positionH relativeFrom="column">
                    <wp:posOffset>11430</wp:posOffset>
                  </wp:positionH>
                  <wp:positionV relativeFrom="paragraph">
                    <wp:posOffset>175260</wp:posOffset>
                  </wp:positionV>
                  <wp:extent cx="3020695" cy="1885315"/>
                  <wp:effectExtent l="0" t="0" r="8255" b="635"/>
                  <wp:wrapTight wrapText="bothSides">
                    <wp:wrapPolygon edited="0">
                      <wp:start x="0" y="0"/>
                      <wp:lineTo x="0" y="21389"/>
                      <wp:lineTo x="21523" y="21389"/>
                      <wp:lineTo x="21523" y="0"/>
                      <wp:lineTo x="0" y="0"/>
                    </wp:wrapPolygon>
                  </wp:wrapTight>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V relativeFrom="margin">
                    <wp14:pctHeight>0</wp14:pctHeight>
                  </wp14:sizeRelV>
                </wp:anchor>
              </w:drawing>
            </w:r>
          </w:p>
          <w:p w14:paraId="13E1ADD8" w14:textId="77777777" w:rsidR="00E76988" w:rsidRPr="002D6455" w:rsidRDefault="00E76988" w:rsidP="00593BD4">
            <w:pPr>
              <w:spacing w:after="0"/>
              <w:jc w:val="both"/>
              <w:rPr>
                <w:rFonts w:ascii="GHEA Grapalat" w:hAnsi="GHEA Grapalat"/>
                <w:i/>
                <w:sz w:val="16"/>
                <w:szCs w:val="16"/>
              </w:rPr>
            </w:pPr>
            <w:r w:rsidRPr="002D6455">
              <w:rPr>
                <w:rFonts w:ascii="GHEA Grapalat" w:hAnsi="GHEA Grapalat"/>
                <w:i/>
                <w:sz w:val="16"/>
                <w:szCs w:val="16"/>
              </w:rPr>
              <w:t>Աղբյուր. ՀՀ վիճակագրական կոմիտե</w:t>
            </w:r>
          </w:p>
        </w:tc>
      </w:tr>
      <w:tr w:rsidR="00E76988" w:rsidRPr="002D6455" w14:paraId="7A0D1E1A" w14:textId="77777777" w:rsidTr="00593BD4">
        <w:trPr>
          <w:trHeight w:val="495"/>
        </w:trPr>
        <w:tc>
          <w:tcPr>
            <w:tcW w:w="5237" w:type="dxa"/>
            <w:shd w:val="clear" w:color="auto" w:fill="auto"/>
          </w:tcPr>
          <w:p w14:paraId="7AF9A9CD" w14:textId="77777777" w:rsidR="00E76988" w:rsidRPr="002D6455" w:rsidRDefault="00E76988" w:rsidP="00593BD4">
            <w:pPr>
              <w:tabs>
                <w:tab w:val="right" w:pos="0"/>
              </w:tabs>
              <w:spacing w:beforeLines="120" w:before="288" w:afterLines="60" w:after="144"/>
              <w:contextualSpacing/>
              <w:rPr>
                <w:rFonts w:ascii="GHEA Grapalat" w:hAnsi="GHEA Grapalat" w:cs="Sylfaen"/>
                <w:b/>
                <w:bCs/>
                <w:i/>
                <w:sz w:val="6"/>
                <w:szCs w:val="6"/>
              </w:rPr>
            </w:pPr>
          </w:p>
          <w:p w14:paraId="56F41C2D" w14:textId="77777777" w:rsidR="00E76988" w:rsidRPr="002D6455" w:rsidRDefault="00E76988" w:rsidP="00593BD4">
            <w:pPr>
              <w:pStyle w:val="ListParagraph"/>
              <w:keepNext/>
              <w:keepLines/>
              <w:numPr>
                <w:ilvl w:val="0"/>
                <w:numId w:val="42"/>
              </w:numPr>
              <w:tabs>
                <w:tab w:val="left" w:pos="0"/>
                <w:tab w:val="left" w:pos="284"/>
                <w:tab w:val="left" w:pos="1134"/>
                <w:tab w:val="left" w:pos="1276"/>
                <w:tab w:val="left" w:pos="1418"/>
                <w:tab w:val="left" w:pos="1888"/>
              </w:tabs>
              <w:autoSpaceDE w:val="0"/>
              <w:autoSpaceDN w:val="0"/>
              <w:adjustRightInd w:val="0"/>
              <w:spacing w:after="0"/>
              <w:ind w:left="0" w:firstLine="0"/>
              <w:rPr>
                <w:rFonts w:ascii="GHEA Grapalat" w:hAnsi="GHEA Grapalat" w:cs="Sylfaen"/>
                <w:b/>
                <w:sz w:val="18"/>
                <w:szCs w:val="16"/>
                <w:lang w:val="hy-AM"/>
              </w:rPr>
            </w:pPr>
            <w:r w:rsidRPr="002D6455">
              <w:rPr>
                <w:rFonts w:ascii="GHEA Grapalat" w:hAnsi="GHEA Grapalat" w:cs="Sylfaen"/>
                <w:b/>
                <w:sz w:val="18"/>
                <w:szCs w:val="16"/>
                <w:lang w:val="hy-AM"/>
              </w:rPr>
              <w:t>Տնտեսության ճյուղերի նպաստումները ՏԱՑ-ին (տ.կ.)</w:t>
            </w:r>
            <w:r w:rsidRPr="002D6455">
              <w:rPr>
                <w:rFonts w:ascii="GHEA Grapalat" w:hAnsi="GHEA Grapalat" w:cs="Sylfaen"/>
                <w:b/>
                <w:sz w:val="18"/>
                <w:szCs w:val="16"/>
                <w:vertAlign w:val="superscript"/>
              </w:rPr>
              <w:footnoteReference w:id="9"/>
            </w:r>
            <w:r w:rsidRPr="002D6455">
              <w:rPr>
                <w:rFonts w:ascii="GHEA Grapalat" w:hAnsi="GHEA Grapalat" w:cs="Sylfaen"/>
                <w:b/>
                <w:sz w:val="18"/>
                <w:szCs w:val="16"/>
                <w:lang w:val="hy-AM"/>
              </w:rPr>
              <w:t xml:space="preserve"> </w:t>
            </w:r>
          </w:p>
          <w:p w14:paraId="6DE9CA2E" w14:textId="77777777" w:rsidR="00E76988" w:rsidRPr="002D6455" w:rsidRDefault="00E76988" w:rsidP="00593BD4">
            <w:pPr>
              <w:tabs>
                <w:tab w:val="right" w:pos="0"/>
              </w:tabs>
              <w:spacing w:after="0"/>
              <w:contextualSpacing/>
              <w:rPr>
                <w:rFonts w:ascii="GHEA Grapalat" w:hAnsi="GHEA Grapalat" w:cs="Sylfaen"/>
                <w:i/>
                <w:sz w:val="16"/>
                <w:szCs w:val="16"/>
              </w:rPr>
            </w:pPr>
            <w:r w:rsidRPr="002D6455">
              <w:rPr>
                <w:rFonts w:ascii="GHEA Grapalat" w:hAnsi="GHEA Grapalat"/>
                <w:i/>
                <w:sz w:val="16"/>
                <w:szCs w:val="16"/>
                <w:lang w:val="en-US"/>
              </w:rPr>
              <w:drawing>
                <wp:inline distT="0" distB="0" distL="0" distR="0" wp14:anchorId="667E3B5C" wp14:editId="13B82645">
                  <wp:extent cx="3095625" cy="1857375"/>
                  <wp:effectExtent l="0" t="0" r="9525" b="952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CFE2CC4" w14:textId="77777777" w:rsidR="00E76988" w:rsidRPr="002D6455" w:rsidRDefault="00E76988" w:rsidP="00593BD4">
            <w:pPr>
              <w:tabs>
                <w:tab w:val="right" w:pos="0"/>
              </w:tabs>
              <w:spacing w:beforeLines="600" w:before="1440" w:afterLines="300" w:after="720"/>
              <w:contextualSpacing/>
              <w:jc w:val="both"/>
              <w:rPr>
                <w:rFonts w:ascii="GHEA Grapalat" w:hAnsi="GHEA Grapalat" w:cs="Sylfaen"/>
              </w:rPr>
            </w:pPr>
            <w:r w:rsidRPr="002D6455">
              <w:rPr>
                <w:rFonts w:ascii="GHEA Grapalat" w:hAnsi="GHEA Grapalat"/>
                <w:i/>
                <w:sz w:val="16"/>
                <w:szCs w:val="16"/>
              </w:rPr>
              <w:t>Աղբյուր. ՀՀ վիճակագրական կոմիտե, ՀՀ ՖՆ հաշվարկներ</w:t>
            </w:r>
          </w:p>
        </w:tc>
        <w:tc>
          <w:tcPr>
            <w:tcW w:w="5008" w:type="dxa"/>
            <w:shd w:val="clear" w:color="auto" w:fill="auto"/>
          </w:tcPr>
          <w:p w14:paraId="7E081DF6" w14:textId="77777777" w:rsidR="00E76988" w:rsidRPr="002D6455" w:rsidRDefault="00E76988" w:rsidP="00593BD4">
            <w:pPr>
              <w:tabs>
                <w:tab w:val="right" w:pos="0"/>
              </w:tabs>
              <w:spacing w:beforeLines="120" w:before="288" w:afterLines="60" w:after="144"/>
              <w:contextualSpacing/>
              <w:jc w:val="both"/>
              <w:rPr>
                <w:rFonts w:ascii="GHEA Grapalat" w:hAnsi="GHEA Grapalat" w:cs="Sylfaen"/>
                <w:b/>
                <w:i/>
                <w:sz w:val="4"/>
                <w:szCs w:val="4"/>
              </w:rPr>
            </w:pPr>
          </w:p>
          <w:p w14:paraId="18726081" w14:textId="77777777" w:rsidR="00E76988" w:rsidRPr="002D6455" w:rsidRDefault="00E76988" w:rsidP="00593BD4">
            <w:pPr>
              <w:pStyle w:val="ListParagraph"/>
              <w:keepNext/>
              <w:keepLines/>
              <w:numPr>
                <w:ilvl w:val="0"/>
                <w:numId w:val="42"/>
              </w:numPr>
              <w:tabs>
                <w:tab w:val="left" w:pos="0"/>
                <w:tab w:val="left" w:pos="284"/>
                <w:tab w:val="left" w:pos="1134"/>
                <w:tab w:val="left" w:pos="1276"/>
                <w:tab w:val="left" w:pos="1418"/>
                <w:tab w:val="left" w:pos="1888"/>
              </w:tabs>
              <w:autoSpaceDE w:val="0"/>
              <w:autoSpaceDN w:val="0"/>
              <w:adjustRightInd w:val="0"/>
              <w:spacing w:after="0"/>
              <w:ind w:left="0" w:firstLine="0"/>
              <w:rPr>
                <w:rFonts w:ascii="GHEA Grapalat" w:hAnsi="GHEA Grapalat" w:cs="Sylfaen"/>
                <w:b/>
                <w:sz w:val="16"/>
                <w:szCs w:val="16"/>
                <w:lang w:val="hy-AM"/>
              </w:rPr>
            </w:pPr>
            <w:r w:rsidRPr="002D6455">
              <w:rPr>
                <w:rFonts w:ascii="GHEA Grapalat" w:hAnsi="GHEA Grapalat" w:cs="Sylfaen"/>
                <w:b/>
                <w:sz w:val="18"/>
                <w:szCs w:val="16"/>
                <w:lang w:val="hy-AM"/>
              </w:rPr>
              <w:t xml:space="preserve">Տնտեսության ճյուղերի նպաստում-ները ՏԱՑ-ին </w:t>
            </w:r>
            <w:r w:rsidRPr="002D6455">
              <w:rPr>
                <w:rFonts w:ascii="GHEA Grapalat" w:hAnsi="GHEA Grapalat" w:cs="Sylfaen"/>
                <w:b/>
                <w:sz w:val="18"/>
                <w:szCs w:val="18"/>
                <w:lang w:val="hy-AM"/>
              </w:rPr>
              <w:t>(տ.կ.)</w:t>
            </w:r>
            <w:r w:rsidRPr="002D6455">
              <w:rPr>
                <w:rFonts w:ascii="GHEA Grapalat" w:hAnsi="GHEA Grapalat" w:cs="Sylfaen"/>
                <w:b/>
                <w:sz w:val="16"/>
                <w:szCs w:val="16"/>
                <w:vertAlign w:val="superscript"/>
                <w:lang w:val="hy-AM"/>
              </w:rPr>
              <w:t xml:space="preserve"> </w:t>
            </w:r>
          </w:p>
          <w:p w14:paraId="76ECEB55" w14:textId="77777777" w:rsidR="00E76988" w:rsidRPr="002D6455" w:rsidRDefault="00E76988" w:rsidP="00593BD4">
            <w:pPr>
              <w:tabs>
                <w:tab w:val="right" w:pos="0"/>
              </w:tabs>
              <w:spacing w:after="0"/>
              <w:contextualSpacing/>
              <w:rPr>
                <w:rFonts w:ascii="GHEA Grapalat" w:hAnsi="GHEA Grapalat"/>
                <w:i/>
                <w:sz w:val="16"/>
                <w:szCs w:val="16"/>
              </w:rPr>
            </w:pPr>
            <w:r w:rsidRPr="002D6455">
              <w:rPr>
                <w:rFonts w:ascii="GHEA Grapalat" w:hAnsi="GHEA Grapalat"/>
                <w:lang w:val="en-US"/>
              </w:rPr>
              <w:drawing>
                <wp:inline distT="0" distB="0" distL="0" distR="0" wp14:anchorId="1AA0E37C" wp14:editId="2943CB4A">
                  <wp:extent cx="2963545" cy="1874520"/>
                  <wp:effectExtent l="0" t="0" r="8255" b="1143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2D6455">
              <w:rPr>
                <w:rFonts w:ascii="GHEA Grapalat" w:hAnsi="GHEA Grapalat"/>
                <w:i/>
                <w:sz w:val="16"/>
                <w:szCs w:val="16"/>
              </w:rPr>
              <w:t>Աղբյուր. ՀՀ վիճակագրական կոմիտե, ՀՀ ՖՆ հաշվարկներ</w:t>
            </w:r>
          </w:p>
        </w:tc>
      </w:tr>
    </w:tbl>
    <w:p w14:paraId="6448BFF5" w14:textId="77777777" w:rsidR="00E76988" w:rsidRPr="002D6455" w:rsidRDefault="00E76988" w:rsidP="00E76988">
      <w:pPr>
        <w:spacing w:line="276" w:lineRule="auto"/>
        <w:ind w:firstLine="567"/>
        <w:jc w:val="both"/>
        <w:rPr>
          <w:rFonts w:ascii="GHEA Grapalat" w:eastAsia="GHEA Grapalat" w:hAnsi="GHEA Grapalat" w:cs="GHEA Grapalat"/>
          <w:sz w:val="22"/>
          <w:szCs w:val="22"/>
        </w:rPr>
      </w:pPr>
    </w:p>
    <w:p w14:paraId="55F9053A" w14:textId="77777777"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b/>
          <w:i/>
          <w:sz w:val="22"/>
          <w:szCs w:val="22"/>
        </w:rPr>
        <w:t>Համախառն պահանջարկ</w:t>
      </w:r>
      <w:r w:rsidRPr="002D6455">
        <w:rPr>
          <w:rFonts w:ascii="GHEA Grapalat" w:eastAsia="GHEA Grapalat" w:hAnsi="GHEA Grapalat" w:cs="GHEA Grapalat"/>
          <w:sz w:val="22"/>
          <w:szCs w:val="22"/>
          <w:vertAlign w:val="superscript"/>
        </w:rPr>
        <w:footnoteReference w:id="10"/>
      </w:r>
      <w:r w:rsidRPr="002D6455">
        <w:rPr>
          <w:rFonts w:ascii="GHEA Grapalat" w:eastAsia="GHEA Grapalat" w:hAnsi="GHEA Grapalat" w:cs="GHEA Grapalat"/>
          <w:i/>
          <w:sz w:val="22"/>
          <w:szCs w:val="22"/>
        </w:rPr>
        <w:t>:</w:t>
      </w:r>
      <w:r w:rsidRPr="002D6455">
        <w:rPr>
          <w:rFonts w:ascii="GHEA Grapalat" w:eastAsia="GHEA Grapalat" w:hAnsi="GHEA Grapalat" w:cs="GHEA Grapalat"/>
          <w:sz w:val="22"/>
          <w:szCs w:val="22"/>
          <w:vertAlign w:val="superscript"/>
        </w:rPr>
        <w:t xml:space="preserve"> </w:t>
      </w:r>
      <w:r w:rsidRPr="002D6455">
        <w:rPr>
          <w:rFonts w:ascii="GHEA Grapalat" w:eastAsia="GHEA Grapalat" w:hAnsi="GHEA Grapalat" w:cs="GHEA Grapalat"/>
          <w:sz w:val="22"/>
          <w:szCs w:val="22"/>
        </w:rPr>
        <w:t>Առաջին կիսամյակում տնտեսական ակտիվության աճն ուղեկցվել է ներքին պահանջարկի աճով:</w:t>
      </w:r>
    </w:p>
    <w:p w14:paraId="4D4A5923" w14:textId="0A85C53E"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b/>
          <w:bCs/>
          <w:i/>
          <w:iCs/>
          <w:sz w:val="22"/>
          <w:szCs w:val="22"/>
        </w:rPr>
        <w:t>Սպառում։</w:t>
      </w:r>
      <w:r w:rsidRPr="002D6455">
        <w:rPr>
          <w:rFonts w:ascii="GHEA Grapalat" w:eastAsia="GHEA Grapalat" w:hAnsi="GHEA Grapalat" w:cs="GHEA Grapalat"/>
          <w:sz w:val="22"/>
          <w:szCs w:val="22"/>
        </w:rPr>
        <w:t xml:space="preserve"> Առաջին կիսամյակում սպառումն իրական արտահայտությամբ աճել է շուրջ 6.4%-ով՝ հիմնականում պայմանավորված մասնավոր հատվածի սպառման աճով, որին նպաստել </w:t>
      </w:r>
      <w:r w:rsidR="001768A7">
        <w:rPr>
          <w:rFonts w:ascii="GHEA Grapalat" w:eastAsia="GHEA Grapalat" w:hAnsi="GHEA Grapalat" w:cs="GHEA Grapalat"/>
          <w:sz w:val="22"/>
          <w:szCs w:val="22"/>
          <w:lang w:val="en-US"/>
        </w:rPr>
        <w:t>է</w:t>
      </w:r>
      <w:r w:rsidRPr="002D6455">
        <w:rPr>
          <w:rFonts w:ascii="GHEA Grapalat" w:eastAsia="GHEA Grapalat" w:hAnsi="GHEA Grapalat" w:cs="GHEA Grapalat"/>
          <w:sz w:val="22"/>
          <w:szCs w:val="22"/>
        </w:rPr>
        <w:t xml:space="preserve"> բնակչության տնօրինվող եկամտի և սպառողական վարկավորման ծավալների աճը: Պետական սպառման աճը ևս նպաստել է ընդհանուր սպառման աճին</w:t>
      </w:r>
      <w:r w:rsidR="001768A7">
        <w:rPr>
          <w:rFonts w:ascii="GHEA Grapalat" w:eastAsia="GHEA Grapalat" w:hAnsi="GHEA Grapalat" w:cs="GHEA Grapalat"/>
          <w:sz w:val="22"/>
          <w:szCs w:val="22"/>
        </w:rPr>
        <w:t>:</w:t>
      </w:r>
    </w:p>
    <w:p w14:paraId="384A701A" w14:textId="229A9C94"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b/>
          <w:sz w:val="22"/>
          <w:szCs w:val="22"/>
        </w:rPr>
        <w:t>Ներդրումներ։</w:t>
      </w:r>
      <w:r w:rsidRPr="002D6455">
        <w:rPr>
          <w:rFonts w:ascii="GHEA Grapalat" w:eastAsia="GHEA Grapalat" w:hAnsi="GHEA Grapalat" w:cs="GHEA Grapalat"/>
          <w:sz w:val="22"/>
          <w:szCs w:val="22"/>
        </w:rPr>
        <w:t xml:space="preserve"> Առաջին կիսամյակում գնահատվում է կապիտալ ներդրումների</w:t>
      </w:r>
      <w:r w:rsidRPr="002D6455">
        <w:rPr>
          <w:rFonts w:ascii="GHEA Grapalat" w:eastAsia="GHEA Grapalat" w:hAnsi="GHEA Grapalat" w:cs="GHEA Grapalat"/>
          <w:sz w:val="22"/>
          <w:szCs w:val="22"/>
          <w:vertAlign w:val="superscript"/>
        </w:rPr>
        <w:footnoteReference w:id="11"/>
      </w:r>
      <w:r w:rsidR="001768A7">
        <w:rPr>
          <w:rFonts w:ascii="GHEA Grapalat" w:eastAsia="GHEA Grapalat" w:hAnsi="GHEA Grapalat" w:cs="GHEA Grapalat"/>
          <w:sz w:val="22"/>
          <w:szCs w:val="22"/>
          <w:lang w:val="en-US"/>
        </w:rPr>
        <w:t>՝</w:t>
      </w:r>
      <w:r w:rsidRPr="002D6455">
        <w:rPr>
          <w:rFonts w:ascii="GHEA Grapalat" w:eastAsia="GHEA Grapalat" w:hAnsi="GHEA Grapalat" w:cs="GHEA Grapalat"/>
          <w:sz w:val="22"/>
          <w:szCs w:val="22"/>
        </w:rPr>
        <w:t xml:space="preserve"> նախորդ տարվա նույն ժամանակահատվածի նկատմամբ իրական արտահայտությամբ շուրջ 2.1% աճ՝ պայմանավորված մասնավոր ներդրումների աճով: Մասնավոր ներդրումների աճի վրա դրական ազդեցություն են ունեցել շինարարության և հիպոտեկային վարկերի ծավալների աճերը: Պետական ներդրումները նվազել են՝ բացասաբար նպաստելով ընդհանուր ներդրումների աճին: </w:t>
      </w:r>
      <w:r w:rsidR="00F449EC">
        <w:rPr>
          <w:rFonts w:ascii="GHEA Grapalat" w:eastAsia="GHEA Grapalat" w:hAnsi="GHEA Grapalat" w:cs="GHEA Grapalat"/>
          <w:sz w:val="22"/>
          <w:szCs w:val="22"/>
        </w:rPr>
        <w:t xml:space="preserve">Սակայն տնտեսական զարգացմանն ուղղվող պետական ներդրումների բաղադրիչն աճել է՝ </w:t>
      </w:r>
      <w:r w:rsidR="0063247A">
        <w:rPr>
          <w:rFonts w:ascii="GHEA Grapalat" w:eastAsia="GHEA Grapalat" w:hAnsi="GHEA Grapalat" w:cs="GHEA Grapalat"/>
          <w:sz w:val="22"/>
          <w:szCs w:val="22"/>
        </w:rPr>
        <w:t>նպաստելով տնտեսական զարգացմանը:</w:t>
      </w:r>
    </w:p>
    <w:p w14:paraId="1ABB6DDD" w14:textId="77777777"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sz w:val="22"/>
          <w:szCs w:val="22"/>
        </w:rPr>
        <w:lastRenderedPageBreak/>
        <w:t>Ներդրումների աճը հիմնականում պայմանավորված է եղել անշարժ գույքի հետ կապված գործունեություն (հիմնականում՝ բնակարանաշինություն), կրթություն, ինչպես նաև էլեկտրականության, գազի, գոլորշու և լավորակ օդի մատակարարում ոլորտներում կատարված ներդրումների աճերով</w:t>
      </w:r>
      <w:r w:rsidRPr="002D6455">
        <w:rPr>
          <w:rFonts w:ascii="GHEA Grapalat" w:eastAsia="GHEA Grapalat" w:hAnsi="GHEA Grapalat" w:cs="GHEA Grapalat"/>
          <w:sz w:val="22"/>
          <w:szCs w:val="22"/>
          <w:vertAlign w:val="superscript"/>
        </w:rPr>
        <w:footnoteReference w:id="12"/>
      </w:r>
      <w:r w:rsidRPr="002D6455">
        <w:rPr>
          <w:rFonts w:ascii="GHEA Grapalat" w:eastAsia="GHEA Grapalat" w:hAnsi="GHEA Grapalat" w:cs="GHEA Grapalat"/>
          <w:sz w:val="22"/>
          <w:szCs w:val="22"/>
        </w:rPr>
        <w:t>:</w:t>
      </w:r>
    </w:p>
    <w:p w14:paraId="237277A7" w14:textId="69EBE0E8" w:rsidR="00E76988" w:rsidRPr="002D6455" w:rsidRDefault="00E76988" w:rsidP="00E76988">
      <w:pPr>
        <w:spacing w:line="276" w:lineRule="auto"/>
        <w:ind w:firstLine="567"/>
        <w:jc w:val="both"/>
        <w:rPr>
          <w:rFonts w:ascii="GHEA Grapalat" w:eastAsia="GHEA Grapalat" w:hAnsi="GHEA Grapalat" w:cs="GHEA Grapalat"/>
          <w:sz w:val="22"/>
          <w:szCs w:val="22"/>
        </w:rPr>
      </w:pPr>
      <w:r w:rsidRPr="002D6455">
        <w:rPr>
          <w:rFonts w:ascii="GHEA Grapalat" w:eastAsia="GHEA Grapalat" w:hAnsi="GHEA Grapalat" w:cs="GHEA Grapalat"/>
          <w:b/>
          <w:bCs/>
          <w:i/>
          <w:iCs/>
          <w:sz w:val="22"/>
          <w:szCs w:val="22"/>
        </w:rPr>
        <w:t>Զուտ արտահանում։</w:t>
      </w:r>
      <w:r w:rsidRPr="002D6455">
        <w:rPr>
          <w:rFonts w:ascii="GHEA Grapalat" w:eastAsia="GHEA Grapalat" w:hAnsi="GHEA Grapalat" w:cs="GHEA Grapalat"/>
          <w:sz w:val="22"/>
          <w:szCs w:val="22"/>
        </w:rPr>
        <w:t xml:space="preserve"> Ապրանքների և ծառայությունների արտահանման իրական ծավալները նվազել են շուրջ 8.1%-ով, իսկ ներմուծումը՝ շուրջ 4.4%-ով` պայմանավորված վերամշակման և վերաարտահանման նպատակով ներմուծված թանկարժեք մետաղների ներմուծման գործոնի որոշակի չեզոքացմամբ: Արտահանման նվազման գործոններից </w:t>
      </w:r>
      <w:r w:rsidR="00517D78">
        <w:rPr>
          <w:rFonts w:ascii="GHEA Grapalat" w:eastAsia="GHEA Grapalat" w:hAnsi="GHEA Grapalat" w:cs="GHEA Grapalat"/>
          <w:sz w:val="22"/>
          <w:szCs w:val="22"/>
          <w:lang w:val="en-US"/>
        </w:rPr>
        <w:t>են</w:t>
      </w:r>
      <w:r w:rsidRPr="002D6455">
        <w:rPr>
          <w:rFonts w:ascii="GHEA Grapalat" w:eastAsia="GHEA Grapalat" w:hAnsi="GHEA Grapalat" w:cs="GHEA Grapalat"/>
          <w:sz w:val="22"/>
          <w:szCs w:val="22"/>
        </w:rPr>
        <w:t xml:space="preserve"> հանդիսացել նաև հայկական ծագման որոշակի ապրանքատեսակների արտահանման խոչընդոտները:</w:t>
      </w:r>
    </w:p>
    <w:p w14:paraId="7964F644" w14:textId="77777777" w:rsidR="00E76988" w:rsidRPr="002D6455" w:rsidRDefault="00E76988" w:rsidP="00E76988">
      <w:pPr>
        <w:spacing w:line="276" w:lineRule="auto"/>
        <w:ind w:firstLine="567"/>
        <w:jc w:val="both"/>
        <w:rPr>
          <w:rFonts w:ascii="GHEA Grapalat" w:eastAsia="GHEA Grapalat" w:hAnsi="GHEA Grapalat" w:cs="GHEA Grapalat"/>
          <w:sz w:val="22"/>
          <w:szCs w:val="22"/>
        </w:rPr>
      </w:pPr>
    </w:p>
    <w:p w14:paraId="0FA5803D" w14:textId="77777777" w:rsidR="00E76988" w:rsidRPr="002D6455" w:rsidRDefault="00E76988" w:rsidP="00E76988">
      <w:pPr>
        <w:pStyle w:val="Heading4"/>
        <w:numPr>
          <w:ilvl w:val="3"/>
          <w:numId w:val="43"/>
        </w:numPr>
        <w:ind w:left="567" w:firstLine="0"/>
        <w:rPr>
          <w:i w:val="0"/>
        </w:rPr>
      </w:pPr>
      <w:r w:rsidRPr="002D6455">
        <w:rPr>
          <w:i w:val="0"/>
        </w:rPr>
        <w:t xml:space="preserve">Աշխատանքի շուկա </w:t>
      </w:r>
    </w:p>
    <w:p w14:paraId="5B355D54" w14:textId="0C03FBC4" w:rsidR="00E76988" w:rsidRPr="002D6455" w:rsidRDefault="00E76988" w:rsidP="00E76988">
      <w:pPr>
        <w:tabs>
          <w:tab w:val="right" w:pos="8640"/>
        </w:tabs>
        <w:spacing w:line="276" w:lineRule="auto"/>
        <w:ind w:firstLine="567"/>
        <w:jc w:val="both"/>
        <w:rPr>
          <w:rFonts w:ascii="GHEA Grapalat" w:eastAsia="GHEA Grapalat" w:hAnsi="GHEA Grapalat"/>
          <w:sz w:val="22"/>
          <w:szCs w:val="22"/>
        </w:rPr>
      </w:pPr>
      <w:r w:rsidRPr="002D6455">
        <w:rPr>
          <w:rFonts w:ascii="GHEA Grapalat" w:eastAsia="GHEA Grapalat" w:hAnsi="GHEA Grapalat" w:cs="GHEA Grapalat"/>
          <w:sz w:val="22"/>
          <w:szCs w:val="22"/>
        </w:rPr>
        <w:t>Տնտեսական ակտիվության աճի պայմաններում առաջին կիսամյակում վարձու աշխատողների թվաքանակը և աշխատավարձերն աճել են։ 2026թ. առաջին կիսամյակում</w:t>
      </w:r>
      <w:r w:rsidRPr="002D6455">
        <w:rPr>
          <w:rFonts w:ascii="GHEA Grapalat" w:eastAsia="GHEA Grapalat" w:hAnsi="GHEA Grapalat"/>
          <w:sz w:val="22"/>
          <w:szCs w:val="22"/>
        </w:rPr>
        <w:t xml:space="preserve"> պաշտոնապես գրանցված գործազուրկների միջին ամսական թվաքանակը նախորդ տարվա նույն ժամանակահատվածի նկատմամբ նվազել է 27.4%-ով՝ կազմելով 26,84</w:t>
      </w:r>
      <w:r w:rsidR="00D57D3E">
        <w:rPr>
          <w:rFonts w:ascii="GHEA Grapalat" w:eastAsia="GHEA Grapalat" w:hAnsi="GHEA Grapalat"/>
          <w:sz w:val="22"/>
          <w:szCs w:val="22"/>
        </w:rPr>
        <w:t>3</w:t>
      </w:r>
      <w:r w:rsidRPr="002D6455">
        <w:rPr>
          <w:rFonts w:ascii="GHEA Grapalat" w:eastAsia="GHEA Grapalat" w:hAnsi="GHEA Grapalat"/>
          <w:sz w:val="22"/>
          <w:szCs w:val="22"/>
        </w:rPr>
        <w:t xml:space="preserve"> մարդ: Միևնույն ժամանակ վարձու աշխատողների թվաքանակն աճել է 3.5%-ով՝ կազմելով 810,671 մարդ։ Վարձու աշխատողների թվաքանակի աճին հիմնականում նպաստել են կացության և հանրային սննդի կազմակերպման, կրթության, մասնագիտական, գիտական և տեխնիկական գործունեության, մեծածախ և մանրածախ առևտրի, ինչպես նաև մշակող արդյունաբերության ոլորտներում աշխատողների թվաքանակի աճերը:</w:t>
      </w:r>
    </w:p>
    <w:p w14:paraId="294A500F" w14:textId="0E6E4FA1" w:rsidR="00E76988" w:rsidRPr="002D6455" w:rsidRDefault="00E76988" w:rsidP="00E76988">
      <w:pPr>
        <w:tabs>
          <w:tab w:val="right" w:pos="8640"/>
        </w:tabs>
        <w:spacing w:line="276" w:lineRule="auto"/>
        <w:ind w:firstLine="567"/>
        <w:jc w:val="both"/>
        <w:rPr>
          <w:rFonts w:ascii="GHEA Grapalat" w:eastAsia="GHEA Grapalat" w:hAnsi="GHEA Grapalat"/>
          <w:sz w:val="22"/>
          <w:szCs w:val="22"/>
        </w:rPr>
      </w:pPr>
      <w:r w:rsidRPr="002D6455">
        <w:rPr>
          <w:rFonts w:ascii="GHEA Grapalat" w:eastAsia="GHEA Grapalat" w:hAnsi="GHEA Grapalat"/>
          <w:sz w:val="22"/>
          <w:szCs w:val="22"/>
        </w:rPr>
        <w:t>2026թ. առաջին եռամսյակում գործազրկության մակարդակը նախորդ տարվա նույն եռամսյակի նկատմամբ նվազել է 0.3 տոկոսային կետով՝ կազմելով 13.7%: Ընդ որում՝ գործազրկության մակարդակի նվազմանը նպաստել է գործազուրկների թվաքանակի նվազումը (3.8%): Միաժամանակ, գործազուրկների թվաքանակի կրճատումը չի ուղեկցվել զբաղվածների թվաքանակի աճով, այլ հակառակը՝ զբաղվածների թվաքանակն իր հերթին նվազել է 1.9%-ով։ Նույն ժամանակահատվածում տեղի է ունեցել աշխատանքային ռեսուրսների ավելացում, որոնք համալրել են աշխատուժից դուրս բնակչության կազմը: Աշխատուժից դուրս բնակչությունն ավելացել է նաև ի հաշիվ աշխատուժի առաջարկի կրճատման:</w:t>
      </w:r>
    </w:p>
    <w:p w14:paraId="22EE228C" w14:textId="6F822BA0" w:rsidR="00E76988" w:rsidRPr="002D6455" w:rsidRDefault="00E76988" w:rsidP="00E76988">
      <w:pPr>
        <w:tabs>
          <w:tab w:val="right" w:pos="8640"/>
        </w:tabs>
        <w:spacing w:line="276" w:lineRule="auto"/>
        <w:ind w:firstLine="567"/>
        <w:jc w:val="both"/>
        <w:rPr>
          <w:rFonts w:ascii="GHEA Grapalat" w:eastAsia="GHEA Grapalat" w:hAnsi="GHEA Grapalat"/>
          <w:sz w:val="22"/>
          <w:szCs w:val="22"/>
        </w:rPr>
      </w:pPr>
      <w:r w:rsidRPr="002D6455">
        <w:rPr>
          <w:rFonts w:ascii="GHEA Grapalat" w:eastAsia="GHEA Grapalat" w:hAnsi="GHEA Grapalat"/>
          <w:sz w:val="22"/>
          <w:szCs w:val="22"/>
        </w:rPr>
        <w:t>2026թ. առաջին կիսամյակում միջին ամսական անվանական աշխատավարձը նախորդ տարվա նույն ժամանակահատվածի համեմատ աճել է 5.5%-ով` կազմելով 310,787 դրամ։ Աշխատավարձի աճին հիմնականում նպաստել են մեծածախ և մանրածախ առևտրի, կրթության, մշակող արդյունաբերության, ինչպես նաև առողջապահության և բնակչության սոցիալական սպասարկման ոլորտներում աշխատավարձերի ֆոնդերի աճերը։ Միջին ամսական անվանական աշխատավարձը պետական հատվածում աճել է 9.1%-ով` կազմելով 241,454 դրամ, իսկ ոչ պետականում` 4.3%-ով</w:t>
      </w:r>
      <w:r w:rsidR="00E44645">
        <w:rPr>
          <w:rFonts w:ascii="GHEA Grapalat" w:eastAsia="GHEA Grapalat" w:hAnsi="GHEA Grapalat"/>
          <w:sz w:val="22"/>
          <w:szCs w:val="22"/>
          <w:lang w:val="en-US"/>
        </w:rPr>
        <w:t>,</w:t>
      </w:r>
      <w:r w:rsidRPr="002D6455">
        <w:rPr>
          <w:rFonts w:ascii="GHEA Grapalat" w:eastAsia="GHEA Grapalat" w:hAnsi="GHEA Grapalat"/>
          <w:sz w:val="22"/>
          <w:szCs w:val="22"/>
        </w:rPr>
        <w:t xml:space="preserve"> և կազմել է 337,174 դրամ: Իրական աշխատավարձը 4.6% գնաճի պայմաններում նախորդ տարվա նույն ժամանակահատվածի համեմատ աճել է 0.9%-ով:</w:t>
      </w:r>
    </w:p>
    <w:p w14:paraId="24B01932" w14:textId="77777777" w:rsidR="00E76988" w:rsidRPr="002D6455" w:rsidRDefault="00E76988" w:rsidP="00E76988">
      <w:pPr>
        <w:tabs>
          <w:tab w:val="right" w:pos="8640"/>
        </w:tabs>
        <w:spacing w:line="276" w:lineRule="auto"/>
        <w:ind w:firstLine="567"/>
        <w:jc w:val="both"/>
        <w:rPr>
          <w:rFonts w:ascii="GHEA Grapalat" w:eastAsia="GHEA Grapalat" w:hAnsi="GHEA Grapalat"/>
          <w:sz w:val="22"/>
          <w:szCs w:val="22"/>
        </w:rPr>
      </w:pPr>
    </w:p>
    <w:tbl>
      <w:tblPr>
        <w:tblW w:w="15678" w:type="dxa"/>
        <w:tblInd w:w="-142" w:type="dxa"/>
        <w:tblLook w:val="04A0" w:firstRow="1" w:lastRow="0" w:firstColumn="1" w:lastColumn="0" w:noHBand="0" w:noVBand="1"/>
      </w:tblPr>
      <w:tblGrid>
        <w:gridCol w:w="5226"/>
        <w:gridCol w:w="5226"/>
        <w:gridCol w:w="5226"/>
      </w:tblGrid>
      <w:tr w:rsidR="00E76988" w:rsidRPr="003D251C" w14:paraId="1C06BDD4" w14:textId="77777777" w:rsidTr="00CC665A">
        <w:trPr>
          <w:trHeight w:val="4626"/>
        </w:trPr>
        <w:tc>
          <w:tcPr>
            <w:tcW w:w="5226" w:type="dxa"/>
          </w:tcPr>
          <w:p w14:paraId="5F2FCEA4" w14:textId="4812909A" w:rsidR="00106618" w:rsidRDefault="00E76988" w:rsidP="00F73C0E">
            <w:pPr>
              <w:pStyle w:val="a0"/>
              <w:rPr>
                <w:lang w:eastAsia="ru-RU"/>
              </w:rPr>
            </w:pPr>
            <w:r w:rsidRPr="002D6455">
              <w:rPr>
                <w:lang w:eastAsia="ru-RU"/>
              </w:rPr>
              <w:lastRenderedPageBreak/>
              <w:t>Գործազրկության մակարդակ, գործազուրկներ, վարձու աշխատողներ և զբաղվածներ</w:t>
            </w:r>
          </w:p>
          <w:p w14:paraId="0B423DA3" w14:textId="77777777" w:rsidR="00106618" w:rsidRPr="00106618" w:rsidRDefault="00106618" w:rsidP="00F73C0E">
            <w:pPr>
              <w:pStyle w:val="a0"/>
              <w:numPr>
                <w:ilvl w:val="0"/>
                <w:numId w:val="0"/>
              </w:numPr>
              <w:rPr>
                <w:lang w:eastAsia="ru-RU"/>
              </w:rPr>
            </w:pPr>
          </w:p>
          <w:p w14:paraId="611512E7" w14:textId="77777777" w:rsidR="00E76988" w:rsidRPr="002D6455" w:rsidRDefault="00E76988" w:rsidP="00106618">
            <w:pPr>
              <w:pStyle w:val="ListParagraph"/>
              <w:keepNext/>
              <w:keepLines/>
              <w:tabs>
                <w:tab w:val="left" w:pos="0"/>
                <w:tab w:val="left" w:pos="284"/>
                <w:tab w:val="left" w:pos="1134"/>
                <w:tab w:val="left" w:pos="1276"/>
                <w:tab w:val="left" w:pos="1418"/>
                <w:tab w:val="left" w:pos="1888"/>
              </w:tabs>
              <w:autoSpaceDE w:val="0"/>
              <w:autoSpaceDN w:val="0"/>
              <w:adjustRightInd w:val="0"/>
              <w:spacing w:after="0"/>
              <w:ind w:left="0"/>
              <w:rPr>
                <w:rFonts w:ascii="GHEA Grapalat" w:hAnsi="GHEA Grapalat"/>
                <w:b/>
                <w:sz w:val="18"/>
                <w:szCs w:val="16"/>
                <w:lang w:val="hy-AM"/>
              </w:rPr>
            </w:pPr>
            <w:r w:rsidRPr="002D6455">
              <w:rPr>
                <w:rFonts w:ascii="GHEA Grapalat" w:hAnsi="GHEA Grapalat"/>
                <w:b/>
                <w:noProof/>
                <w:sz w:val="18"/>
                <w:szCs w:val="16"/>
                <w:lang w:val="en-US" w:eastAsia="en-US"/>
              </w:rPr>
              <w:drawing>
                <wp:inline distT="0" distB="0" distL="0" distR="0" wp14:anchorId="28DA950D" wp14:editId="6494CBEB">
                  <wp:extent cx="3181350" cy="2390775"/>
                  <wp:effectExtent l="0" t="0" r="0" b="9525"/>
                  <wp:docPr id="16"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c>
          <w:tcPr>
            <w:tcW w:w="5226" w:type="dxa"/>
          </w:tcPr>
          <w:p w14:paraId="00830103" w14:textId="77777777" w:rsidR="00E76988" w:rsidRPr="002D6455" w:rsidRDefault="00E76988" w:rsidP="00F73C0E">
            <w:pPr>
              <w:pStyle w:val="a0"/>
              <w:rPr>
                <w:lang w:eastAsia="ru-RU"/>
              </w:rPr>
            </w:pPr>
            <w:r w:rsidRPr="002D6455">
              <w:rPr>
                <w:lang w:eastAsia="ru-RU"/>
              </w:rPr>
              <w:t>Միջին ամսական աշխատավարձի աճը նախորդ տարվա նույն ժամանակահատվածի նկատմամբ, %</w:t>
            </w:r>
          </w:p>
          <w:p w14:paraId="3CCA8271" w14:textId="77777777" w:rsidR="00E76988" w:rsidRPr="003D251C" w:rsidDel="00D90B16" w:rsidRDefault="00E76988" w:rsidP="00106618">
            <w:pPr>
              <w:pStyle w:val="ListParagraph"/>
              <w:keepNext/>
              <w:keepLines/>
              <w:tabs>
                <w:tab w:val="left" w:pos="0"/>
                <w:tab w:val="left" w:pos="284"/>
                <w:tab w:val="left" w:pos="1134"/>
                <w:tab w:val="left" w:pos="1276"/>
                <w:tab w:val="left" w:pos="1418"/>
                <w:tab w:val="left" w:pos="1888"/>
              </w:tabs>
              <w:autoSpaceDE w:val="0"/>
              <w:autoSpaceDN w:val="0"/>
              <w:adjustRightInd w:val="0"/>
              <w:spacing w:after="0"/>
              <w:ind w:left="0"/>
              <w:rPr>
                <w:rFonts w:ascii="GHEA Grapalat" w:hAnsi="GHEA Grapalat"/>
                <w:b/>
                <w:sz w:val="18"/>
                <w:szCs w:val="16"/>
                <w:lang w:val="hy-AM"/>
              </w:rPr>
            </w:pPr>
            <w:r w:rsidRPr="002D6455">
              <w:rPr>
                <w:rFonts w:ascii="GHEA Grapalat" w:hAnsi="GHEA Grapalat"/>
                <w:b/>
                <w:noProof/>
                <w:sz w:val="18"/>
                <w:szCs w:val="16"/>
                <w:lang w:val="en-US" w:eastAsia="en-US"/>
              </w:rPr>
              <w:drawing>
                <wp:inline distT="0" distB="0" distL="0" distR="0" wp14:anchorId="3B5FD90D" wp14:editId="6716AA07">
                  <wp:extent cx="3171825" cy="2401294"/>
                  <wp:effectExtent l="0" t="0" r="9525" b="18415"/>
                  <wp:docPr id="21"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c>
          <w:tcPr>
            <w:tcW w:w="5226" w:type="dxa"/>
            <w:shd w:val="clear" w:color="auto" w:fill="auto"/>
          </w:tcPr>
          <w:p w14:paraId="3FFB054A" w14:textId="77777777" w:rsidR="00E76988" w:rsidRPr="003D251C" w:rsidRDefault="00E76988" w:rsidP="00106618">
            <w:pPr>
              <w:tabs>
                <w:tab w:val="right" w:pos="0"/>
              </w:tabs>
              <w:spacing w:before="100" w:beforeAutospacing="1" w:after="100" w:afterAutospacing="1" w:line="276" w:lineRule="auto"/>
              <w:contextualSpacing/>
              <w:rPr>
                <w:rFonts w:ascii="GHEA Grapalat" w:hAnsi="GHEA Grapalat"/>
                <w:sz w:val="16"/>
                <w:szCs w:val="16"/>
              </w:rPr>
            </w:pPr>
          </w:p>
        </w:tc>
      </w:tr>
      <w:tr w:rsidR="00E76988" w:rsidRPr="00E44645" w14:paraId="4CBE268B" w14:textId="77777777" w:rsidTr="00CC665A">
        <w:trPr>
          <w:trHeight w:val="70"/>
        </w:trPr>
        <w:tc>
          <w:tcPr>
            <w:tcW w:w="5226" w:type="dxa"/>
          </w:tcPr>
          <w:p w14:paraId="49AD2E9B" w14:textId="77777777" w:rsidR="00E76988" w:rsidRPr="00E44645" w:rsidRDefault="00E76988" w:rsidP="00CC665A">
            <w:pPr>
              <w:spacing w:line="276" w:lineRule="auto"/>
              <w:ind w:firstLine="562"/>
              <w:jc w:val="both"/>
              <w:rPr>
                <w:rFonts w:ascii="GHEA Grapalat" w:eastAsia="GHEA Grapalat" w:hAnsi="GHEA Grapalat"/>
                <w:sz w:val="22"/>
                <w:szCs w:val="22"/>
              </w:rPr>
            </w:pPr>
          </w:p>
        </w:tc>
        <w:tc>
          <w:tcPr>
            <w:tcW w:w="5226" w:type="dxa"/>
          </w:tcPr>
          <w:p w14:paraId="13E1B9D1" w14:textId="77777777" w:rsidR="00E76988" w:rsidRPr="00E44645" w:rsidDel="00D90B16" w:rsidRDefault="00E76988" w:rsidP="00E44645">
            <w:pPr>
              <w:spacing w:line="276" w:lineRule="auto"/>
              <w:ind w:firstLine="562"/>
              <w:jc w:val="both"/>
              <w:rPr>
                <w:rFonts w:ascii="GHEA Grapalat" w:eastAsia="GHEA Grapalat" w:hAnsi="GHEA Grapalat"/>
                <w:sz w:val="22"/>
                <w:szCs w:val="22"/>
              </w:rPr>
            </w:pPr>
          </w:p>
        </w:tc>
        <w:tc>
          <w:tcPr>
            <w:tcW w:w="5226" w:type="dxa"/>
            <w:shd w:val="clear" w:color="auto" w:fill="auto"/>
          </w:tcPr>
          <w:p w14:paraId="55A241AB" w14:textId="77777777" w:rsidR="00E76988" w:rsidRPr="00E44645" w:rsidRDefault="00E76988" w:rsidP="00E44645">
            <w:pPr>
              <w:spacing w:line="276" w:lineRule="auto"/>
              <w:ind w:firstLine="562"/>
              <w:jc w:val="both"/>
              <w:rPr>
                <w:rFonts w:ascii="GHEA Grapalat" w:eastAsia="GHEA Grapalat" w:hAnsi="GHEA Grapalat"/>
                <w:sz w:val="22"/>
                <w:szCs w:val="22"/>
              </w:rPr>
            </w:pPr>
          </w:p>
        </w:tc>
      </w:tr>
    </w:tbl>
    <w:p w14:paraId="46771FB0" w14:textId="68590C14" w:rsidR="00F86947" w:rsidRPr="007E513A" w:rsidRDefault="00F86947" w:rsidP="007E513A">
      <w:pPr>
        <w:pStyle w:val="Heading4"/>
        <w:numPr>
          <w:ilvl w:val="3"/>
          <w:numId w:val="43"/>
        </w:numPr>
        <w:ind w:left="567" w:firstLine="0"/>
        <w:rPr>
          <w:i w:val="0"/>
        </w:rPr>
      </w:pPr>
      <w:r w:rsidRPr="007E513A">
        <w:rPr>
          <w:i w:val="0"/>
        </w:rPr>
        <w:t>Գնաճ և դրամավարկային քաղաքականություն</w:t>
      </w:r>
    </w:p>
    <w:p w14:paraId="2E984724" w14:textId="74390DF0" w:rsidR="00D57D3E" w:rsidRDefault="00D57D3E" w:rsidP="00D57D3E">
      <w:pPr>
        <w:spacing w:line="276" w:lineRule="auto"/>
        <w:ind w:firstLine="562"/>
        <w:jc w:val="both"/>
        <w:rPr>
          <w:rFonts w:ascii="GHEA Grapalat" w:hAnsi="GHEA Grapalat"/>
          <w:sz w:val="22"/>
          <w:szCs w:val="22"/>
        </w:rPr>
      </w:pPr>
      <w:bookmarkStart w:id="5" w:name="_Toc6389323"/>
      <w:bookmarkStart w:id="6" w:name="_Toc37763590"/>
      <w:r w:rsidRPr="005F0104">
        <w:rPr>
          <w:rFonts w:ascii="GHEA Grapalat" w:eastAsia="GHEA Grapalat" w:hAnsi="GHEA Grapalat"/>
          <w:sz w:val="22"/>
          <w:szCs w:val="22"/>
        </w:rPr>
        <w:t xml:space="preserve">2026թ. առաջին </w:t>
      </w:r>
      <w:r>
        <w:rPr>
          <w:rFonts w:ascii="GHEA Grapalat" w:eastAsia="GHEA Grapalat" w:hAnsi="GHEA Grapalat"/>
          <w:sz w:val="22"/>
          <w:szCs w:val="22"/>
        </w:rPr>
        <w:t>կիսամյակի</w:t>
      </w:r>
      <w:r w:rsidRPr="005F0104">
        <w:rPr>
          <w:rFonts w:ascii="GHEA Grapalat" w:eastAsia="GHEA Grapalat" w:hAnsi="GHEA Grapalat"/>
          <w:sz w:val="22"/>
          <w:szCs w:val="22"/>
        </w:rPr>
        <w:t xml:space="preserve"> ընթացքում գնաճն արագացել է</w:t>
      </w:r>
      <w:r>
        <w:rPr>
          <w:rFonts w:ascii="GHEA Grapalat" w:eastAsia="GHEA Grapalat" w:hAnsi="GHEA Grapalat"/>
          <w:sz w:val="22"/>
          <w:szCs w:val="22"/>
        </w:rPr>
        <w:t>՝ ձևավորվելով ԿԲ թիրախից բարձր մակարդակում</w:t>
      </w:r>
      <w:r w:rsidRPr="005F0104">
        <w:rPr>
          <w:rFonts w:ascii="GHEA Grapalat" w:eastAsia="GHEA Grapalat" w:hAnsi="GHEA Grapalat"/>
          <w:sz w:val="22"/>
          <w:szCs w:val="22"/>
        </w:rPr>
        <w:t>, որի պայմաններում ԿԲ-ն դադարել է մեղմացնել դրամավարկային պայմանները՝ վերաֆինանսավորման տոկոսադրույքը թողնելով անփոփոխ (6.5%): Գնաճի արագացումը</w:t>
      </w:r>
      <w:r>
        <w:rPr>
          <w:rFonts w:ascii="GHEA Grapalat" w:hAnsi="GHEA Grapalat"/>
          <w:bCs/>
          <w:sz w:val="22"/>
          <w:szCs w:val="22"/>
        </w:rPr>
        <w:t xml:space="preserve"> զուգակցվել է բնականոն գնաճի արագացմամբ, ինչն էլ հիմնականում </w:t>
      </w:r>
      <w:r w:rsidRPr="002A3488">
        <w:rPr>
          <w:rFonts w:ascii="GHEA Grapalat" w:hAnsi="GHEA Grapalat"/>
          <w:bCs/>
          <w:sz w:val="22"/>
          <w:szCs w:val="22"/>
        </w:rPr>
        <w:t>արտացոլում է համաշխարհային տնտեսությունից փոխանցվող գնաճային ճնշումներ</w:t>
      </w:r>
      <w:r w:rsidRPr="002C0883">
        <w:rPr>
          <w:rFonts w:ascii="GHEA Grapalat" w:hAnsi="GHEA Grapalat"/>
          <w:bCs/>
          <w:sz w:val="22"/>
          <w:szCs w:val="22"/>
        </w:rPr>
        <w:t>ը, ապրանքահումքային և պարենային ապրանքների գների վերաբերյալ անորոշությունն</w:t>
      </w:r>
      <w:r w:rsidRPr="002A3488">
        <w:rPr>
          <w:rFonts w:ascii="GHEA Grapalat" w:hAnsi="GHEA Grapalat"/>
          <w:bCs/>
          <w:sz w:val="22"/>
          <w:szCs w:val="22"/>
        </w:rPr>
        <w:t xml:space="preserve"> ու բարձր ներքին պահանջարկը:</w:t>
      </w:r>
      <w:r>
        <w:rPr>
          <w:rFonts w:ascii="GHEA Grapalat" w:hAnsi="GHEA Grapalat"/>
          <w:bCs/>
          <w:sz w:val="22"/>
          <w:szCs w:val="22"/>
        </w:rPr>
        <w:t xml:space="preserve"> </w:t>
      </w:r>
      <w:r w:rsidR="000220F7">
        <w:rPr>
          <w:rFonts w:ascii="GHEA Grapalat" w:hAnsi="GHEA Grapalat"/>
          <w:sz w:val="22"/>
          <w:szCs w:val="22"/>
        </w:rPr>
        <w:t>12</w:t>
      </w:r>
      <w:r w:rsidR="000220F7">
        <w:rPr>
          <w:rFonts w:ascii="GHEA Grapalat" w:hAnsi="GHEA Grapalat"/>
          <w:sz w:val="22"/>
          <w:szCs w:val="22"/>
        </w:rPr>
        <w:noBreakHyphen/>
      </w:r>
      <w:r w:rsidRPr="002125EC">
        <w:rPr>
          <w:rFonts w:ascii="GHEA Grapalat" w:hAnsi="GHEA Grapalat"/>
          <w:sz w:val="22"/>
          <w:szCs w:val="22"/>
        </w:rPr>
        <w:t xml:space="preserve">ամսյա գնաճը </w:t>
      </w:r>
      <w:r>
        <w:rPr>
          <w:rFonts w:ascii="GHEA Grapalat" w:hAnsi="GHEA Grapalat"/>
          <w:sz w:val="22"/>
          <w:szCs w:val="22"/>
        </w:rPr>
        <w:t>հունիսին</w:t>
      </w:r>
      <w:r w:rsidRPr="002125EC">
        <w:rPr>
          <w:rFonts w:ascii="GHEA Grapalat" w:hAnsi="GHEA Grapalat"/>
          <w:sz w:val="22"/>
          <w:szCs w:val="22"/>
        </w:rPr>
        <w:t xml:space="preserve"> կազմել է </w:t>
      </w:r>
      <w:r>
        <w:rPr>
          <w:rFonts w:ascii="GHEA Grapalat" w:hAnsi="GHEA Grapalat"/>
          <w:sz w:val="22"/>
          <w:szCs w:val="22"/>
        </w:rPr>
        <w:t>5.1</w:t>
      </w:r>
      <w:r w:rsidRPr="002125EC">
        <w:rPr>
          <w:rFonts w:ascii="GHEA Grapalat" w:hAnsi="GHEA Grapalat"/>
          <w:sz w:val="22"/>
          <w:szCs w:val="22"/>
        </w:rPr>
        <w:t>%, միջին գնաճը</w:t>
      </w:r>
      <w:r>
        <w:rPr>
          <w:rFonts w:ascii="GHEA Grapalat" w:hAnsi="GHEA Grapalat"/>
          <w:sz w:val="22"/>
          <w:szCs w:val="22"/>
        </w:rPr>
        <w:t>՝</w:t>
      </w:r>
      <w:r w:rsidRPr="002125EC">
        <w:rPr>
          <w:rFonts w:ascii="GHEA Grapalat" w:hAnsi="GHEA Grapalat"/>
          <w:sz w:val="22"/>
          <w:szCs w:val="22"/>
        </w:rPr>
        <w:t xml:space="preserve"> </w:t>
      </w:r>
      <w:r>
        <w:rPr>
          <w:rFonts w:ascii="GHEA Grapalat" w:hAnsi="GHEA Grapalat"/>
          <w:sz w:val="22"/>
          <w:szCs w:val="22"/>
        </w:rPr>
        <w:t>4.6</w:t>
      </w:r>
      <w:r w:rsidRPr="002125EC">
        <w:rPr>
          <w:rFonts w:ascii="GHEA Grapalat" w:hAnsi="GHEA Grapalat"/>
          <w:sz w:val="22"/>
          <w:szCs w:val="22"/>
        </w:rPr>
        <w:t xml:space="preserve">%, իսկ </w:t>
      </w:r>
      <w:r>
        <w:rPr>
          <w:rFonts w:ascii="GHEA Grapalat" w:hAnsi="GHEA Grapalat"/>
          <w:sz w:val="22"/>
          <w:szCs w:val="22"/>
        </w:rPr>
        <w:t xml:space="preserve">12-ամսյա </w:t>
      </w:r>
      <w:r w:rsidRPr="002125EC">
        <w:rPr>
          <w:rFonts w:ascii="GHEA Grapalat" w:hAnsi="GHEA Grapalat"/>
          <w:sz w:val="22"/>
          <w:szCs w:val="22"/>
        </w:rPr>
        <w:t>բնականոն գնաճը</w:t>
      </w:r>
      <w:r>
        <w:rPr>
          <w:rFonts w:ascii="GHEA Grapalat" w:hAnsi="GHEA Grapalat"/>
          <w:sz w:val="22"/>
          <w:szCs w:val="22"/>
        </w:rPr>
        <w:t>, որի կազմում չեն ներառվում սեզոնային պարենային ապրանքներն ու ծառայությունները, կազմել է</w:t>
      </w:r>
      <w:r w:rsidRPr="002125EC">
        <w:rPr>
          <w:rFonts w:ascii="GHEA Grapalat" w:hAnsi="GHEA Grapalat"/>
          <w:sz w:val="22"/>
          <w:szCs w:val="22"/>
        </w:rPr>
        <w:t xml:space="preserve"> </w:t>
      </w:r>
      <w:r>
        <w:rPr>
          <w:rFonts w:ascii="GHEA Grapalat" w:hAnsi="GHEA Grapalat"/>
          <w:sz w:val="22"/>
          <w:szCs w:val="22"/>
        </w:rPr>
        <w:t>4.9</w:t>
      </w:r>
      <w:r w:rsidRPr="002125EC">
        <w:rPr>
          <w:rFonts w:ascii="GHEA Grapalat" w:hAnsi="GHEA Grapalat"/>
          <w:sz w:val="22"/>
          <w:szCs w:val="22"/>
        </w:rPr>
        <w:t>%</w:t>
      </w:r>
      <w:r w:rsidRPr="00D70CAF">
        <w:rPr>
          <w:rFonts w:ascii="GHEA Grapalat" w:hAnsi="GHEA Grapalat"/>
          <w:sz w:val="22"/>
          <w:szCs w:val="22"/>
        </w:rPr>
        <w:t>։</w:t>
      </w:r>
    </w:p>
    <w:p w14:paraId="22EDEB0C" w14:textId="77777777" w:rsidR="00D57D3E" w:rsidRPr="00D70CAF" w:rsidRDefault="00D57D3E" w:rsidP="00D57D3E">
      <w:pPr>
        <w:spacing w:line="276" w:lineRule="auto"/>
        <w:ind w:firstLine="562"/>
        <w:jc w:val="both"/>
        <w:rPr>
          <w:rFonts w:ascii="GHEA Grapalat" w:hAnsi="GHEA Grapalat"/>
          <w:sz w:val="22"/>
          <w:szCs w:val="22"/>
        </w:rPr>
      </w:pPr>
    </w:p>
    <w:p w14:paraId="1C5F0354" w14:textId="77777777" w:rsidR="00D57D3E" w:rsidRPr="005F0104" w:rsidRDefault="00D57D3E" w:rsidP="006B6F92">
      <w:pPr>
        <w:pStyle w:val="ListParagraph"/>
        <w:keepNext/>
        <w:keepLines/>
        <w:numPr>
          <w:ilvl w:val="0"/>
          <w:numId w:val="42"/>
        </w:numPr>
        <w:tabs>
          <w:tab w:val="left" w:pos="0"/>
          <w:tab w:val="left" w:pos="284"/>
          <w:tab w:val="left" w:pos="1134"/>
          <w:tab w:val="left" w:pos="1276"/>
          <w:tab w:val="left" w:pos="1418"/>
          <w:tab w:val="left" w:pos="1620"/>
          <w:tab w:val="left" w:pos="1888"/>
        </w:tabs>
        <w:autoSpaceDE w:val="0"/>
        <w:autoSpaceDN w:val="0"/>
        <w:adjustRightInd w:val="0"/>
        <w:spacing w:after="0"/>
        <w:ind w:left="0" w:firstLine="0"/>
        <w:rPr>
          <w:rFonts w:ascii="GHEA Grapalat" w:hAnsi="GHEA Grapalat" w:cs="Sylfaen"/>
          <w:b/>
          <w:sz w:val="18"/>
          <w:szCs w:val="18"/>
          <w:lang w:val="hy-AM"/>
        </w:rPr>
      </w:pPr>
      <w:r w:rsidRPr="005F0104">
        <w:rPr>
          <w:rFonts w:ascii="GHEA Grapalat" w:hAnsi="GHEA Grapalat" w:cs="Sylfaen"/>
          <w:b/>
          <w:sz w:val="18"/>
          <w:szCs w:val="18"/>
          <w:lang w:val="hy-AM"/>
        </w:rPr>
        <w:t>Գնաճի տեմպերը և ԿԲ տոկոսադրույք</w:t>
      </w:r>
      <w:r>
        <w:rPr>
          <w:rFonts w:ascii="GHEA Grapalat" w:hAnsi="GHEA Grapalat" w:cs="Sylfaen"/>
          <w:b/>
          <w:sz w:val="18"/>
          <w:szCs w:val="18"/>
          <w:lang w:val="hy-AM"/>
        </w:rPr>
        <w:t>ն</w:t>
      </w:r>
      <w:r w:rsidRPr="005F0104">
        <w:rPr>
          <w:rFonts w:ascii="GHEA Grapalat" w:hAnsi="GHEA Grapalat" w:cs="Sylfaen"/>
          <w:b/>
          <w:sz w:val="18"/>
          <w:szCs w:val="18"/>
          <w:lang w:val="hy-AM"/>
        </w:rPr>
        <w:t xml:space="preserve"> ըստ ամիսների, 2021-2026թթ</w:t>
      </w:r>
      <w:r w:rsidRPr="005F0104">
        <w:rPr>
          <w:rFonts w:ascii="Cambria Math" w:eastAsia="MS Gothic" w:hAnsi="Cambria Math" w:cs="Cambria Math"/>
          <w:b/>
          <w:sz w:val="18"/>
          <w:szCs w:val="18"/>
          <w:lang w:val="hy-AM"/>
        </w:rPr>
        <w:t>․</w:t>
      </w:r>
      <w:r w:rsidRPr="005F0104">
        <w:rPr>
          <w:rFonts w:ascii="GHEA Grapalat" w:eastAsia="MS Mincho" w:hAnsi="GHEA Grapalat" w:cs="Arial"/>
          <w:b/>
          <w:sz w:val="18"/>
          <w:szCs w:val="18"/>
          <w:lang w:val="hy-AM"/>
        </w:rPr>
        <w:t>,</w:t>
      </w:r>
      <w:r w:rsidRPr="005F0104">
        <w:rPr>
          <w:rFonts w:ascii="GHEA Grapalat" w:hAnsi="GHEA Grapalat" w:cs="Sylfaen"/>
          <w:b/>
          <w:sz w:val="18"/>
          <w:szCs w:val="18"/>
          <w:lang w:val="hy-AM"/>
        </w:rPr>
        <w:t xml:space="preserve"> %</w:t>
      </w:r>
    </w:p>
    <w:p w14:paraId="040F6A70" w14:textId="77777777" w:rsidR="00D57D3E" w:rsidRPr="00D70CAF" w:rsidRDefault="00D57D3E" w:rsidP="00D57D3E">
      <w:pPr>
        <w:spacing w:line="276" w:lineRule="auto"/>
        <w:jc w:val="both"/>
        <w:rPr>
          <w:rFonts w:ascii="GHEA Grapalat" w:eastAsia="GHEA Grapalat" w:hAnsi="GHEA Grapalat" w:cs="GHEA Grapalat"/>
          <w:sz w:val="22"/>
          <w:szCs w:val="22"/>
        </w:rPr>
      </w:pPr>
      <w:r w:rsidRPr="00D70CAF">
        <w:rPr>
          <w:rFonts w:ascii="GHEA Grapalat" w:eastAsia="GHEA Grapalat" w:hAnsi="GHEA Grapalat" w:cs="GHEA Grapalat"/>
          <w:sz w:val="22"/>
          <w:szCs w:val="22"/>
          <w:lang w:val="en-US"/>
        </w:rPr>
        <w:drawing>
          <wp:inline distT="0" distB="0" distL="0" distR="0" wp14:anchorId="1BEA8B95" wp14:editId="2B035F4E">
            <wp:extent cx="6448425" cy="2321781"/>
            <wp:effectExtent l="0" t="0" r="9525" b="2540"/>
            <wp:docPr id="7"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AAD5886" w14:textId="0FDE3804" w:rsidR="00D57D3E" w:rsidRDefault="00D57D3E" w:rsidP="000D7CC6">
      <w:pPr>
        <w:spacing w:line="276" w:lineRule="auto"/>
        <w:jc w:val="both"/>
        <w:rPr>
          <w:rFonts w:ascii="GHEA Grapalat" w:hAnsi="GHEA Grapalat" w:cs="GHEA Grapalat"/>
          <w:sz w:val="22"/>
          <w:szCs w:val="22"/>
        </w:rPr>
      </w:pPr>
      <w:r w:rsidRPr="00BC2C75">
        <w:rPr>
          <w:rFonts w:ascii="GHEA Grapalat" w:eastAsia="GHEA Grapalat" w:hAnsi="GHEA Grapalat" w:cs="GHEA Grapalat"/>
          <w:i/>
          <w:iCs/>
          <w:color w:val="000000"/>
          <w:sz w:val="16"/>
          <w:szCs w:val="16"/>
        </w:rPr>
        <w:t>Աղբյուրը՝ ՀՀ ԿԲ</w:t>
      </w:r>
    </w:p>
    <w:p w14:paraId="344A9345" w14:textId="77777777" w:rsidR="000D7CC6" w:rsidRDefault="000D7CC6" w:rsidP="00D57D3E">
      <w:pPr>
        <w:spacing w:line="276" w:lineRule="auto"/>
        <w:ind w:firstLine="567"/>
        <w:jc w:val="both"/>
        <w:rPr>
          <w:rFonts w:ascii="GHEA Grapalat" w:hAnsi="GHEA Grapalat" w:cs="GHEA Grapalat"/>
          <w:sz w:val="22"/>
          <w:szCs w:val="22"/>
        </w:rPr>
      </w:pPr>
    </w:p>
    <w:p w14:paraId="672A0A1C" w14:textId="3075BDAE" w:rsidR="00D57D3E" w:rsidRDefault="00D57D3E" w:rsidP="00D57D3E">
      <w:pPr>
        <w:spacing w:line="276" w:lineRule="auto"/>
        <w:ind w:firstLine="567"/>
        <w:jc w:val="both"/>
        <w:rPr>
          <w:rFonts w:ascii="GHEA Grapalat" w:hAnsi="GHEA Grapalat" w:cs="GHEA Grapalat"/>
          <w:sz w:val="22"/>
          <w:szCs w:val="22"/>
        </w:rPr>
      </w:pPr>
      <w:r w:rsidRPr="00D70CAF">
        <w:rPr>
          <w:rFonts w:ascii="GHEA Grapalat" w:hAnsi="GHEA Grapalat" w:cs="GHEA Grapalat"/>
          <w:sz w:val="22"/>
          <w:szCs w:val="22"/>
        </w:rPr>
        <w:t>Միջին գնաճին առավելապես նպաստել է</w:t>
      </w:r>
      <w:r>
        <w:rPr>
          <w:rFonts w:ascii="GHEA Grapalat" w:hAnsi="GHEA Grapalat" w:cs="GHEA Grapalat"/>
          <w:sz w:val="22"/>
          <w:szCs w:val="22"/>
        </w:rPr>
        <w:t xml:space="preserve"> «</w:t>
      </w:r>
      <w:r w:rsidRPr="00D70CAF">
        <w:rPr>
          <w:rFonts w:ascii="GHEA Grapalat" w:hAnsi="GHEA Grapalat" w:cs="GHEA Grapalat"/>
          <w:sz w:val="22"/>
          <w:szCs w:val="22"/>
        </w:rPr>
        <w:t>Սննդամթեր</w:t>
      </w:r>
      <w:r w:rsidRPr="0094681B">
        <w:rPr>
          <w:rFonts w:ascii="GHEA Grapalat" w:hAnsi="GHEA Grapalat" w:cs="GHEA Grapalat"/>
          <w:sz w:val="22"/>
          <w:szCs w:val="22"/>
        </w:rPr>
        <w:t xml:space="preserve">ք և ոչ ալկոհոլային խմիչքներ» ապրանքախմբում </w:t>
      </w:r>
      <w:r>
        <w:rPr>
          <w:rFonts w:ascii="GHEA Grapalat" w:hAnsi="GHEA Grapalat" w:cs="GHEA Grapalat"/>
          <w:sz w:val="22"/>
          <w:szCs w:val="22"/>
        </w:rPr>
        <w:t>արձանագրված 7</w:t>
      </w:r>
      <w:r w:rsidRPr="00D10479">
        <w:rPr>
          <w:rFonts w:ascii="GHEA Grapalat" w:hAnsi="GHEA Grapalat" w:cs="GHEA Grapalat"/>
          <w:sz w:val="22"/>
          <w:szCs w:val="22"/>
        </w:rPr>
        <w:t>.</w:t>
      </w:r>
      <w:r>
        <w:rPr>
          <w:rFonts w:ascii="GHEA Grapalat" w:hAnsi="GHEA Grapalat" w:cs="GHEA Grapalat"/>
          <w:sz w:val="22"/>
          <w:szCs w:val="22"/>
        </w:rPr>
        <w:t>5</w:t>
      </w:r>
      <w:r w:rsidRPr="00190B6C">
        <w:rPr>
          <w:rFonts w:ascii="GHEA Grapalat" w:hAnsi="GHEA Grapalat" w:cs="GHEA Grapalat"/>
          <w:sz w:val="22"/>
          <w:szCs w:val="22"/>
        </w:rPr>
        <w:t xml:space="preserve">% </w:t>
      </w:r>
      <w:r>
        <w:rPr>
          <w:rFonts w:ascii="GHEA Grapalat" w:hAnsi="GHEA Grapalat" w:cs="GHEA Grapalat"/>
          <w:sz w:val="22"/>
          <w:szCs w:val="22"/>
        </w:rPr>
        <w:t xml:space="preserve">գների աճը </w:t>
      </w:r>
      <w:r w:rsidRPr="00190B6C">
        <w:rPr>
          <w:rFonts w:ascii="GHEA Grapalat" w:hAnsi="GHEA Grapalat" w:cs="GHEA Grapalat"/>
          <w:sz w:val="22"/>
          <w:szCs w:val="22"/>
        </w:rPr>
        <w:t>(</w:t>
      </w:r>
      <w:r>
        <w:rPr>
          <w:rFonts w:ascii="GHEA Grapalat" w:hAnsi="GHEA Grapalat" w:cs="GHEA Grapalat"/>
          <w:sz w:val="22"/>
          <w:szCs w:val="22"/>
        </w:rPr>
        <w:t>նպաստումը գնաճին՝ 3 տոկոսային կետ</w:t>
      </w:r>
      <w:r w:rsidRPr="00190B6C">
        <w:rPr>
          <w:rFonts w:ascii="GHEA Grapalat" w:hAnsi="GHEA Grapalat" w:cs="GHEA Grapalat"/>
          <w:sz w:val="22"/>
          <w:szCs w:val="22"/>
        </w:rPr>
        <w:t>)</w:t>
      </w:r>
      <w:r>
        <w:rPr>
          <w:rFonts w:ascii="GHEA Grapalat" w:hAnsi="GHEA Grapalat" w:cs="GHEA Grapalat"/>
          <w:sz w:val="22"/>
          <w:szCs w:val="22"/>
        </w:rPr>
        <w:t xml:space="preserve">: </w:t>
      </w:r>
      <w:r w:rsidRPr="00D70CAF">
        <w:rPr>
          <w:rFonts w:ascii="GHEA Grapalat" w:hAnsi="GHEA Grapalat" w:cs="GHEA Grapalat"/>
          <w:sz w:val="22"/>
          <w:szCs w:val="22"/>
        </w:rPr>
        <w:t>«Ծառայություններ» ապրանքախմբում արձանագրվ</w:t>
      </w:r>
      <w:r>
        <w:rPr>
          <w:rFonts w:ascii="GHEA Grapalat" w:hAnsi="GHEA Grapalat" w:cs="GHEA Grapalat"/>
          <w:sz w:val="22"/>
          <w:szCs w:val="22"/>
        </w:rPr>
        <w:t>ել է</w:t>
      </w:r>
      <w:r w:rsidRPr="00D70CAF">
        <w:rPr>
          <w:rFonts w:ascii="GHEA Grapalat" w:hAnsi="GHEA Grapalat" w:cs="GHEA Grapalat"/>
          <w:sz w:val="22"/>
          <w:szCs w:val="22"/>
        </w:rPr>
        <w:t xml:space="preserve"> </w:t>
      </w:r>
      <w:r>
        <w:rPr>
          <w:rFonts w:ascii="GHEA Grapalat" w:hAnsi="GHEA Grapalat" w:cs="GHEA Grapalat"/>
          <w:sz w:val="22"/>
          <w:szCs w:val="22"/>
        </w:rPr>
        <w:t>2.7</w:t>
      </w:r>
      <w:r w:rsidRPr="00D70CAF">
        <w:rPr>
          <w:rFonts w:ascii="GHEA Grapalat" w:hAnsi="GHEA Grapalat" w:cs="GHEA Grapalat"/>
          <w:sz w:val="22"/>
          <w:szCs w:val="22"/>
        </w:rPr>
        <w:t xml:space="preserve">% գների աճ (նպաստումը գնաճին` </w:t>
      </w:r>
      <w:r>
        <w:rPr>
          <w:rFonts w:ascii="GHEA Grapalat" w:hAnsi="GHEA Grapalat" w:cs="GHEA Grapalat"/>
          <w:sz w:val="22"/>
          <w:szCs w:val="22"/>
        </w:rPr>
        <w:t>0.9</w:t>
      </w:r>
      <w:r w:rsidRPr="00D70CAF">
        <w:rPr>
          <w:rFonts w:ascii="GHEA Grapalat" w:hAnsi="GHEA Grapalat" w:cs="GHEA Grapalat"/>
          <w:sz w:val="22"/>
          <w:szCs w:val="22"/>
        </w:rPr>
        <w:t xml:space="preserve"> տոկոսային կետ)՝</w:t>
      </w:r>
      <w:r>
        <w:rPr>
          <w:rFonts w:ascii="GHEA Grapalat" w:hAnsi="GHEA Grapalat" w:cs="GHEA Grapalat"/>
          <w:sz w:val="22"/>
          <w:szCs w:val="22"/>
        </w:rPr>
        <w:t xml:space="preserve"> </w:t>
      </w:r>
      <w:r w:rsidRPr="00D70CAF">
        <w:rPr>
          <w:rFonts w:ascii="GHEA Grapalat" w:hAnsi="GHEA Grapalat" w:cs="GHEA Grapalat"/>
          <w:sz w:val="22"/>
          <w:szCs w:val="22"/>
        </w:rPr>
        <w:t xml:space="preserve">հիմնականում պայմանավորված </w:t>
      </w:r>
      <w:r>
        <w:rPr>
          <w:rFonts w:ascii="GHEA Grapalat" w:hAnsi="GHEA Grapalat" w:cs="GHEA Grapalat"/>
          <w:sz w:val="22"/>
          <w:szCs w:val="22"/>
        </w:rPr>
        <w:t xml:space="preserve">հանգստի կազմակերպման համալիր </w:t>
      </w:r>
      <w:r>
        <w:rPr>
          <w:rFonts w:ascii="GHEA Grapalat" w:hAnsi="GHEA Grapalat" w:cs="GHEA Grapalat"/>
          <w:sz w:val="22"/>
          <w:szCs w:val="22"/>
        </w:rPr>
        <w:lastRenderedPageBreak/>
        <w:t xml:space="preserve">ծառայությունների, տրանսպորտի ծառայությունների ու նախադպրոցական և տարրական կրթության ծառայությունների սակագների աճով: </w:t>
      </w:r>
      <w:r w:rsidRPr="00D70CAF">
        <w:rPr>
          <w:rFonts w:ascii="GHEA Grapalat" w:hAnsi="GHEA Grapalat" w:cs="GHEA Grapalat"/>
          <w:sz w:val="22"/>
          <w:szCs w:val="22"/>
        </w:rPr>
        <w:t xml:space="preserve">«Ալկոհոլային խմիչքներ, ծխախոտային արտադրատեսակներ» խմբում </w:t>
      </w:r>
      <w:r>
        <w:rPr>
          <w:rFonts w:ascii="GHEA Grapalat" w:hAnsi="GHEA Grapalat" w:cs="GHEA Grapalat"/>
          <w:sz w:val="22"/>
          <w:szCs w:val="22"/>
        </w:rPr>
        <w:t>գնաճը կազմել</w:t>
      </w:r>
      <w:r w:rsidRPr="00D70CAF">
        <w:rPr>
          <w:rFonts w:ascii="GHEA Grapalat" w:hAnsi="GHEA Grapalat" w:cs="GHEA Grapalat"/>
          <w:sz w:val="22"/>
          <w:szCs w:val="22"/>
        </w:rPr>
        <w:t xml:space="preserve"> է </w:t>
      </w:r>
      <w:r>
        <w:rPr>
          <w:rFonts w:ascii="GHEA Grapalat" w:hAnsi="GHEA Grapalat" w:cs="GHEA Grapalat"/>
          <w:sz w:val="22"/>
          <w:szCs w:val="22"/>
        </w:rPr>
        <w:t>8.4</w:t>
      </w:r>
      <w:r w:rsidRPr="00D70CAF">
        <w:rPr>
          <w:rFonts w:ascii="GHEA Grapalat" w:hAnsi="GHEA Grapalat" w:cs="GHEA Grapalat"/>
          <w:sz w:val="22"/>
          <w:szCs w:val="22"/>
        </w:rPr>
        <w:t>%</w:t>
      </w:r>
      <w:r>
        <w:rPr>
          <w:rFonts w:ascii="GHEA Grapalat" w:hAnsi="GHEA Grapalat" w:cs="GHEA Grapalat"/>
          <w:sz w:val="22"/>
          <w:szCs w:val="22"/>
        </w:rPr>
        <w:t xml:space="preserve"> </w:t>
      </w:r>
      <w:r w:rsidRPr="00D70CAF">
        <w:rPr>
          <w:rFonts w:ascii="GHEA Grapalat" w:hAnsi="GHEA Grapalat" w:cs="GHEA Grapalat"/>
          <w:sz w:val="22"/>
          <w:szCs w:val="22"/>
        </w:rPr>
        <w:t>(նպաստումը գնաճին` 0.</w:t>
      </w:r>
      <w:r>
        <w:rPr>
          <w:rFonts w:ascii="GHEA Grapalat" w:hAnsi="GHEA Grapalat" w:cs="GHEA Grapalat"/>
          <w:sz w:val="22"/>
          <w:szCs w:val="22"/>
        </w:rPr>
        <w:t>4</w:t>
      </w:r>
      <w:r w:rsidRPr="00D70CAF">
        <w:rPr>
          <w:rFonts w:ascii="GHEA Grapalat" w:hAnsi="GHEA Grapalat" w:cs="GHEA Grapalat"/>
          <w:sz w:val="22"/>
          <w:szCs w:val="22"/>
        </w:rPr>
        <w:t xml:space="preserve"> տոկոսային կետ), իսկ «Ոչ պարենային ապրանքներ» խմբում արձանագրվել է </w:t>
      </w:r>
      <w:r>
        <w:rPr>
          <w:rFonts w:ascii="GHEA Grapalat" w:hAnsi="GHEA Grapalat" w:cs="GHEA Grapalat"/>
          <w:sz w:val="22"/>
          <w:szCs w:val="22"/>
        </w:rPr>
        <w:t>1.4</w:t>
      </w:r>
      <w:r w:rsidRPr="00D70CAF">
        <w:rPr>
          <w:rFonts w:ascii="GHEA Grapalat" w:hAnsi="GHEA Grapalat" w:cs="GHEA Grapalat"/>
          <w:sz w:val="22"/>
          <w:szCs w:val="22"/>
        </w:rPr>
        <w:t xml:space="preserve">% </w:t>
      </w:r>
      <w:r>
        <w:rPr>
          <w:rFonts w:ascii="GHEA Grapalat" w:hAnsi="GHEA Grapalat" w:cs="GHEA Grapalat"/>
          <w:sz w:val="22"/>
          <w:szCs w:val="22"/>
        </w:rPr>
        <w:t xml:space="preserve">գնաճ </w:t>
      </w:r>
      <w:r w:rsidRPr="00D70CAF">
        <w:rPr>
          <w:rFonts w:ascii="GHEA Grapalat" w:hAnsi="GHEA Grapalat" w:cs="GHEA Grapalat"/>
          <w:sz w:val="22"/>
          <w:szCs w:val="22"/>
        </w:rPr>
        <w:t>(նպաստումը գնաճին` 0.</w:t>
      </w:r>
      <w:r>
        <w:rPr>
          <w:rFonts w:ascii="GHEA Grapalat" w:hAnsi="GHEA Grapalat" w:cs="GHEA Grapalat"/>
          <w:sz w:val="22"/>
          <w:szCs w:val="22"/>
        </w:rPr>
        <w:t>3</w:t>
      </w:r>
      <w:r w:rsidRPr="00D70CAF">
        <w:rPr>
          <w:rFonts w:ascii="GHEA Grapalat" w:hAnsi="GHEA Grapalat" w:cs="GHEA Grapalat"/>
          <w:sz w:val="22"/>
          <w:szCs w:val="22"/>
        </w:rPr>
        <w:t xml:space="preserve"> տոկոսային կետ):</w:t>
      </w:r>
    </w:p>
    <w:p w14:paraId="52D2B0B5" w14:textId="77777777" w:rsidR="00D57D3E" w:rsidRPr="00D70CAF" w:rsidRDefault="00D57D3E" w:rsidP="00D57D3E">
      <w:pPr>
        <w:spacing w:line="276" w:lineRule="auto"/>
        <w:ind w:firstLine="567"/>
        <w:jc w:val="both"/>
        <w:rPr>
          <w:rFonts w:ascii="GHEA Grapalat" w:hAnsi="GHEA Grapalat" w:cs="GHEA Grapalat"/>
          <w:sz w:val="22"/>
          <w:szCs w:val="22"/>
        </w:rPr>
      </w:pPr>
    </w:p>
    <w:p w14:paraId="77D1F61A" w14:textId="25DBAD50" w:rsidR="00D57D3E" w:rsidRPr="005F0104" w:rsidRDefault="006A1352" w:rsidP="006B6F92">
      <w:pPr>
        <w:pStyle w:val="ListParagraph"/>
        <w:keepNext/>
        <w:keepLines/>
        <w:numPr>
          <w:ilvl w:val="0"/>
          <w:numId w:val="42"/>
        </w:numPr>
        <w:tabs>
          <w:tab w:val="left" w:pos="0"/>
          <w:tab w:val="left" w:pos="284"/>
          <w:tab w:val="left" w:pos="1134"/>
          <w:tab w:val="left" w:pos="1276"/>
          <w:tab w:val="left" w:pos="1418"/>
          <w:tab w:val="left" w:pos="1530"/>
          <w:tab w:val="left" w:pos="1888"/>
        </w:tabs>
        <w:autoSpaceDE w:val="0"/>
        <w:autoSpaceDN w:val="0"/>
        <w:adjustRightInd w:val="0"/>
        <w:spacing w:after="0"/>
        <w:ind w:left="0" w:firstLine="0"/>
        <w:rPr>
          <w:rFonts w:ascii="GHEA Grapalat" w:hAnsi="GHEA Grapalat" w:cs="Sylfaen"/>
          <w:b/>
          <w:sz w:val="18"/>
          <w:szCs w:val="18"/>
          <w:lang w:val="hy-AM"/>
        </w:rPr>
      </w:pPr>
      <w:r>
        <w:rPr>
          <w:rFonts w:ascii="GHEA Grapalat" w:hAnsi="GHEA Grapalat" w:cs="Sylfaen"/>
          <w:b/>
          <w:sz w:val="18"/>
          <w:szCs w:val="18"/>
          <w:lang w:val="hy-AM"/>
        </w:rPr>
        <w:t xml:space="preserve">Գնաճին </w:t>
      </w:r>
      <w:r w:rsidR="00D57D3E" w:rsidRPr="005F0104">
        <w:rPr>
          <w:rFonts w:ascii="GHEA Grapalat" w:hAnsi="GHEA Grapalat" w:cs="Sylfaen"/>
          <w:b/>
          <w:sz w:val="18"/>
          <w:szCs w:val="18"/>
          <w:lang w:val="hy-AM"/>
        </w:rPr>
        <w:t>նպաստումները խոշոր ապրանքախմբերով, 2021-2026թթ., տոկոսային կետ</w:t>
      </w:r>
    </w:p>
    <w:p w14:paraId="4CDB484B" w14:textId="77777777" w:rsidR="00D57D3E" w:rsidRPr="00D70CAF" w:rsidRDefault="00D57D3E" w:rsidP="00D57D3E">
      <w:pPr>
        <w:spacing w:line="276" w:lineRule="auto"/>
        <w:rPr>
          <w:rFonts w:ascii="GHEA Grapalat" w:hAnsi="GHEA Grapalat" w:cs="Sylfaen"/>
          <w:b/>
          <w:sz w:val="22"/>
          <w:szCs w:val="22"/>
          <w:lang w:eastAsia="x-none"/>
        </w:rPr>
      </w:pPr>
      <w:r w:rsidRPr="00D70CAF">
        <w:rPr>
          <w:rFonts w:ascii="GHEA Grapalat" w:hAnsi="GHEA Grapalat" w:cs="Sylfaen"/>
          <w:b/>
          <w:szCs w:val="22"/>
          <w:lang w:val="en-US"/>
        </w:rPr>
        <w:drawing>
          <wp:inline distT="0" distB="0" distL="0" distR="0" wp14:anchorId="75B8B6EE" wp14:editId="4A4EC3F1">
            <wp:extent cx="3168000" cy="2664000"/>
            <wp:effectExtent l="0" t="0" r="13970" b="317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D70CAF">
        <w:rPr>
          <w:rFonts w:ascii="GHEA Grapalat" w:hAnsi="GHEA Grapalat" w:cs="Sylfaen"/>
          <w:b/>
          <w:szCs w:val="22"/>
          <w:lang w:val="en-US"/>
        </w:rPr>
        <w:drawing>
          <wp:inline distT="0" distB="0" distL="0" distR="0" wp14:anchorId="4ABFDB94" wp14:editId="3D578D3D">
            <wp:extent cx="3168000" cy="2664000"/>
            <wp:effectExtent l="0" t="0" r="13970" b="317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Pr="00D70CAF">
        <w:rPr>
          <w:rFonts w:ascii="GHEA Grapalat" w:hAnsi="GHEA Grapalat" w:cs="Sylfaen"/>
          <w:b/>
          <w:sz w:val="22"/>
          <w:szCs w:val="22"/>
          <w:lang w:eastAsia="x-none"/>
        </w:rPr>
        <w:t xml:space="preserve"> </w:t>
      </w:r>
    </w:p>
    <w:p w14:paraId="13714109" w14:textId="77777777" w:rsidR="00D57D3E" w:rsidRPr="00D70CAF" w:rsidRDefault="00D57D3E" w:rsidP="00D57D3E">
      <w:pPr>
        <w:spacing w:line="276" w:lineRule="auto"/>
        <w:rPr>
          <w:rFonts w:ascii="GHEA Grapalat" w:hAnsi="GHEA Grapalat" w:cs="Sylfaen"/>
          <w:b/>
          <w:sz w:val="22"/>
          <w:szCs w:val="22"/>
          <w:lang w:eastAsia="x-none"/>
        </w:rPr>
      </w:pPr>
      <w:r w:rsidRPr="00D70CAF">
        <w:rPr>
          <w:rFonts w:ascii="GHEA Grapalat" w:hAnsi="GHEA Grapalat" w:cs="Sylfaen"/>
          <w:b/>
          <w:szCs w:val="22"/>
          <w:lang w:val="en-US"/>
        </w:rPr>
        <w:drawing>
          <wp:inline distT="0" distB="0" distL="0" distR="0" wp14:anchorId="62D23A25" wp14:editId="360D873E">
            <wp:extent cx="6348730" cy="695325"/>
            <wp:effectExtent l="0" t="0" r="13970" b="952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AD8BD4C" w14:textId="77777777" w:rsidR="00D57D3E" w:rsidRPr="00BC2C75" w:rsidRDefault="00D57D3E" w:rsidP="000D7CC6">
      <w:pPr>
        <w:spacing w:line="276" w:lineRule="auto"/>
        <w:rPr>
          <w:rFonts w:ascii="GHEA Grapalat" w:hAnsi="GHEA Grapalat" w:cs="Sylfaen"/>
          <w:b/>
          <w:i/>
          <w:iCs/>
          <w:sz w:val="16"/>
          <w:szCs w:val="16"/>
          <w:lang w:eastAsia="x-none"/>
        </w:rPr>
      </w:pPr>
      <w:r w:rsidRPr="00BC2C75">
        <w:rPr>
          <w:rFonts w:ascii="GHEA Grapalat" w:eastAsia="GHEA Grapalat" w:hAnsi="GHEA Grapalat" w:cs="GHEA Grapalat"/>
          <w:i/>
          <w:iCs/>
          <w:color w:val="000000"/>
          <w:sz w:val="16"/>
          <w:szCs w:val="16"/>
        </w:rPr>
        <w:t>Աղբյուրը՝ ՀՀ ՎԿ և ՀՀ ՖՆ հաշվարկներ</w:t>
      </w:r>
    </w:p>
    <w:p w14:paraId="67E3144D" w14:textId="77777777" w:rsidR="00D57D3E" w:rsidRDefault="00D57D3E" w:rsidP="004951EE">
      <w:pPr>
        <w:spacing w:line="276" w:lineRule="auto"/>
        <w:ind w:firstLine="567"/>
        <w:jc w:val="both"/>
        <w:rPr>
          <w:rFonts w:ascii="GHEA Grapalat" w:eastAsia="GHEA Grapalat" w:hAnsi="GHEA Grapalat" w:cs="GHEA Grapalat"/>
          <w:iCs/>
          <w:color w:val="000000"/>
          <w:sz w:val="22"/>
          <w:szCs w:val="22"/>
        </w:rPr>
      </w:pPr>
    </w:p>
    <w:p w14:paraId="0D8ECC61" w14:textId="6038D382" w:rsidR="00D57D3E" w:rsidRDefault="00D57D3E" w:rsidP="000D7CC6">
      <w:pPr>
        <w:spacing w:line="276" w:lineRule="auto"/>
        <w:ind w:firstLine="567"/>
        <w:jc w:val="both"/>
        <w:rPr>
          <w:rFonts w:ascii="GHEA Grapalat" w:eastAsia="GHEA Grapalat" w:hAnsi="GHEA Grapalat" w:cs="GHEA Grapalat"/>
          <w:iCs/>
          <w:color w:val="000000"/>
          <w:sz w:val="22"/>
          <w:szCs w:val="22"/>
        </w:rPr>
      </w:pPr>
      <w:r>
        <w:rPr>
          <w:rFonts w:ascii="GHEA Grapalat" w:eastAsia="GHEA Grapalat" w:hAnsi="GHEA Grapalat" w:cs="GHEA Grapalat"/>
          <w:iCs/>
          <w:color w:val="000000"/>
          <w:sz w:val="22"/>
          <w:szCs w:val="22"/>
        </w:rPr>
        <w:t>202</w:t>
      </w:r>
      <w:r w:rsidRPr="00D10479">
        <w:rPr>
          <w:rFonts w:ascii="GHEA Grapalat" w:eastAsia="GHEA Grapalat" w:hAnsi="GHEA Grapalat" w:cs="GHEA Grapalat"/>
          <w:iCs/>
          <w:color w:val="000000"/>
          <w:sz w:val="22"/>
          <w:szCs w:val="22"/>
        </w:rPr>
        <w:t>6</w:t>
      </w:r>
      <w:r w:rsidRPr="00D70CAF">
        <w:rPr>
          <w:rFonts w:ascii="GHEA Grapalat" w:eastAsia="GHEA Grapalat" w:hAnsi="GHEA Grapalat" w:cs="GHEA Grapalat"/>
          <w:iCs/>
          <w:color w:val="000000"/>
          <w:sz w:val="22"/>
          <w:szCs w:val="22"/>
        </w:rPr>
        <w:t>թ</w:t>
      </w:r>
      <w:r>
        <w:rPr>
          <w:rFonts w:ascii="GHEA Grapalat" w:eastAsia="GHEA Grapalat" w:hAnsi="GHEA Grapalat" w:cs="GHEA Grapalat"/>
          <w:iCs/>
          <w:color w:val="000000"/>
          <w:sz w:val="22"/>
          <w:szCs w:val="22"/>
        </w:rPr>
        <w:t>. առաջին կիսամյակում</w:t>
      </w:r>
      <w:r w:rsidRPr="00D70CAF">
        <w:rPr>
          <w:rFonts w:ascii="GHEA Grapalat" w:eastAsia="GHEA Grapalat" w:hAnsi="GHEA Grapalat" w:cs="GHEA Grapalat"/>
          <w:iCs/>
          <w:color w:val="000000"/>
          <w:sz w:val="22"/>
          <w:szCs w:val="22"/>
        </w:rPr>
        <w:t xml:space="preserve"> </w:t>
      </w:r>
      <w:r>
        <w:rPr>
          <w:rFonts w:ascii="GHEA Grapalat" w:eastAsia="GHEA Grapalat" w:hAnsi="GHEA Grapalat" w:cs="GHEA Grapalat"/>
          <w:iCs/>
          <w:color w:val="000000"/>
          <w:sz w:val="22"/>
          <w:szCs w:val="22"/>
        </w:rPr>
        <w:t>ԿԲ-ն անփոփոխ է թողել քաղաքականության տոկոսադրույքը՝ պահպանելով այն</w:t>
      </w:r>
      <w:r w:rsidRPr="00D10479">
        <w:rPr>
          <w:rFonts w:ascii="GHEA Grapalat" w:eastAsia="GHEA Grapalat" w:hAnsi="GHEA Grapalat" w:cs="GHEA Grapalat"/>
          <w:iCs/>
          <w:color w:val="000000"/>
          <w:sz w:val="22"/>
          <w:szCs w:val="22"/>
        </w:rPr>
        <w:t xml:space="preserve"> 6.5% </w:t>
      </w:r>
      <w:r>
        <w:rPr>
          <w:rFonts w:ascii="GHEA Grapalat" w:eastAsia="GHEA Grapalat" w:hAnsi="GHEA Grapalat" w:cs="GHEA Grapalat"/>
          <w:iCs/>
          <w:color w:val="000000"/>
          <w:sz w:val="22"/>
          <w:szCs w:val="22"/>
        </w:rPr>
        <w:t>մակարդակում:</w:t>
      </w:r>
      <w:r w:rsidRPr="00BC2C75">
        <w:rPr>
          <w:rFonts w:ascii="GHEA Grapalat" w:eastAsia="GHEA Grapalat" w:hAnsi="GHEA Grapalat" w:cs="GHEA Grapalat"/>
          <w:iCs/>
          <w:color w:val="000000"/>
          <w:sz w:val="22"/>
          <w:szCs w:val="22"/>
        </w:rPr>
        <w:t xml:space="preserve"> </w:t>
      </w:r>
      <w:r>
        <w:rPr>
          <w:rFonts w:ascii="GHEA Grapalat" w:eastAsia="GHEA Grapalat" w:hAnsi="GHEA Grapalat" w:cs="GHEA Grapalat"/>
          <w:iCs/>
          <w:color w:val="000000"/>
          <w:sz w:val="22"/>
          <w:szCs w:val="22"/>
        </w:rPr>
        <w:t>Այնուամենայնիվ, պետական պարտատոմսերի տոկոսադրույքները շարունակել են նվազել եկամտաբերության կորի ամբողջ երկայնքով՝ պայմանավորված դրամավարկային քաղաքականության հետաձգված ազդեցություններով և երկրի ռիսկի հավելավճարի նվազմամբ: Ա</w:t>
      </w:r>
      <w:r w:rsidRPr="00BC2C75">
        <w:rPr>
          <w:rFonts w:ascii="GHEA Grapalat" w:eastAsia="GHEA Grapalat" w:hAnsi="GHEA Grapalat" w:cs="GHEA Grapalat"/>
          <w:iCs/>
          <w:color w:val="000000"/>
          <w:sz w:val="22"/>
          <w:szCs w:val="22"/>
        </w:rPr>
        <w:t xml:space="preserve">վանդների </w:t>
      </w:r>
      <w:r>
        <w:rPr>
          <w:rFonts w:ascii="GHEA Grapalat" w:eastAsia="GHEA Grapalat" w:hAnsi="GHEA Grapalat" w:cs="GHEA Grapalat"/>
          <w:iCs/>
          <w:color w:val="000000"/>
          <w:sz w:val="22"/>
          <w:szCs w:val="22"/>
        </w:rPr>
        <w:t>և վարկերի տոկոսադրույքները որոշակի</w:t>
      </w:r>
      <w:r w:rsidR="000D7CC6">
        <w:rPr>
          <w:rFonts w:ascii="GHEA Grapalat" w:eastAsia="GHEA Grapalat" w:hAnsi="GHEA Grapalat" w:cs="GHEA Grapalat"/>
          <w:iCs/>
          <w:color w:val="000000"/>
          <w:sz w:val="22"/>
          <w:szCs w:val="22"/>
          <w:lang w:val="en-US"/>
        </w:rPr>
        <w:t>որեն</w:t>
      </w:r>
      <w:r>
        <w:rPr>
          <w:rFonts w:ascii="GHEA Grapalat" w:eastAsia="GHEA Grapalat" w:hAnsi="GHEA Grapalat" w:cs="GHEA Grapalat"/>
          <w:iCs/>
          <w:color w:val="000000"/>
          <w:sz w:val="22"/>
          <w:szCs w:val="22"/>
        </w:rPr>
        <w:t xml:space="preserve"> նվազել են</w:t>
      </w:r>
      <w:r>
        <w:rPr>
          <w:rFonts w:eastAsia="GHEA Grapalat"/>
          <w:iCs/>
          <w:color w:val="000000"/>
          <w:sz w:val="22"/>
          <w:szCs w:val="22"/>
        </w:rPr>
        <w:t xml:space="preserve">, </w:t>
      </w:r>
      <w:r w:rsidRPr="0049287E">
        <w:rPr>
          <w:rFonts w:ascii="GHEA Grapalat" w:eastAsia="GHEA Grapalat" w:hAnsi="GHEA Grapalat"/>
          <w:iCs/>
          <w:color w:val="000000"/>
          <w:sz w:val="22"/>
          <w:szCs w:val="22"/>
        </w:rPr>
        <w:t>իսկ</w:t>
      </w:r>
      <w:r w:rsidRPr="00D57D3E">
        <w:rPr>
          <w:rFonts w:ascii="GHEA Grapalat" w:eastAsia="GHEA Grapalat" w:hAnsi="GHEA Grapalat" w:cs="GHEA Grapalat"/>
          <w:iCs/>
          <w:color w:val="000000"/>
          <w:sz w:val="22"/>
          <w:szCs w:val="22"/>
        </w:rPr>
        <w:t xml:space="preserve"> հիպոտեկային</w:t>
      </w:r>
      <w:r w:rsidRPr="002C0883">
        <w:rPr>
          <w:rFonts w:ascii="GHEA Grapalat" w:eastAsia="GHEA Grapalat" w:hAnsi="GHEA Grapalat" w:cs="GHEA Grapalat"/>
          <w:iCs/>
          <w:color w:val="000000"/>
          <w:sz w:val="22"/>
          <w:szCs w:val="22"/>
        </w:rPr>
        <w:t xml:space="preserve"> և սպառողական վարկերի </w:t>
      </w:r>
      <w:r w:rsidRPr="00BC2C75">
        <w:rPr>
          <w:rFonts w:ascii="GHEA Grapalat" w:eastAsia="GHEA Grapalat" w:hAnsi="GHEA Grapalat" w:cs="GHEA Grapalat"/>
          <w:iCs/>
          <w:color w:val="000000"/>
          <w:sz w:val="22"/>
          <w:szCs w:val="22"/>
        </w:rPr>
        <w:t>տոկոսադրույքները շարունակում են</w:t>
      </w:r>
      <w:r>
        <w:rPr>
          <w:rFonts w:ascii="GHEA Grapalat" w:eastAsia="GHEA Grapalat" w:hAnsi="GHEA Grapalat" w:cs="GHEA Grapalat"/>
          <w:iCs/>
          <w:color w:val="000000"/>
          <w:sz w:val="22"/>
          <w:szCs w:val="22"/>
        </w:rPr>
        <w:t xml:space="preserve"> կայուն մնալ։</w:t>
      </w:r>
    </w:p>
    <w:p w14:paraId="5718B939" w14:textId="77777777" w:rsidR="00D57D3E" w:rsidRPr="002C0883" w:rsidRDefault="00D57D3E" w:rsidP="004951EE">
      <w:pPr>
        <w:spacing w:line="276" w:lineRule="auto"/>
        <w:ind w:firstLine="567"/>
        <w:jc w:val="both"/>
        <w:rPr>
          <w:rFonts w:ascii="GHEA Grapalat" w:eastAsia="GHEA Grapalat" w:hAnsi="GHEA Grapalat" w:cs="GHEA Grapalat"/>
          <w:iCs/>
          <w:color w:val="000000"/>
          <w:sz w:val="22"/>
          <w:szCs w:val="22"/>
        </w:rPr>
      </w:pPr>
    </w:p>
    <w:p w14:paraId="3A436920" w14:textId="77777777" w:rsidR="00D57D3E" w:rsidRPr="00C735BE" w:rsidRDefault="00D57D3E" w:rsidP="006B6F92">
      <w:pPr>
        <w:pStyle w:val="ListParagraph"/>
        <w:keepNext/>
        <w:keepLines/>
        <w:numPr>
          <w:ilvl w:val="0"/>
          <w:numId w:val="42"/>
        </w:numPr>
        <w:tabs>
          <w:tab w:val="left" w:pos="0"/>
          <w:tab w:val="left" w:pos="284"/>
          <w:tab w:val="left" w:pos="1134"/>
          <w:tab w:val="left" w:pos="1276"/>
          <w:tab w:val="left" w:pos="1418"/>
          <w:tab w:val="left" w:pos="1530"/>
          <w:tab w:val="left" w:pos="1888"/>
        </w:tabs>
        <w:autoSpaceDE w:val="0"/>
        <w:autoSpaceDN w:val="0"/>
        <w:adjustRightInd w:val="0"/>
        <w:spacing w:after="0"/>
        <w:ind w:left="0" w:firstLine="0"/>
        <w:rPr>
          <w:rFonts w:ascii="GHEA Grapalat" w:hAnsi="GHEA Grapalat" w:cs="Sylfaen"/>
          <w:b/>
          <w:sz w:val="18"/>
          <w:szCs w:val="18"/>
          <w:lang w:val="hy-AM"/>
        </w:rPr>
      </w:pPr>
      <w:r w:rsidRPr="00C735BE">
        <w:rPr>
          <w:rFonts w:ascii="GHEA Grapalat" w:hAnsi="GHEA Grapalat" w:cs="Sylfaen"/>
          <w:b/>
          <w:sz w:val="18"/>
          <w:szCs w:val="18"/>
          <w:lang w:val="hy-AM"/>
        </w:rPr>
        <w:t>ՀՀ դրամով տոկոսադրույքների միտումները ՀՀ ֆինանսական շուկաներում, 2021-2026թթ.,%</w:t>
      </w:r>
    </w:p>
    <w:p w14:paraId="4724B9D4" w14:textId="77777777" w:rsidR="00D57D3E" w:rsidRPr="00345A1C" w:rsidRDefault="00D57D3E" w:rsidP="00D57D3E">
      <w:pPr>
        <w:spacing w:line="276" w:lineRule="auto"/>
        <w:rPr>
          <w:rFonts w:ascii="GHEA Grapalat" w:hAnsi="GHEA Grapalat" w:cs="GHEA Grapalat"/>
          <w:sz w:val="22"/>
          <w:szCs w:val="22"/>
        </w:rPr>
      </w:pPr>
      <w:r w:rsidRPr="00345A1C">
        <w:rPr>
          <w:rFonts w:ascii="GHEA Grapalat" w:hAnsi="GHEA Grapalat" w:cs="GHEA Grapalat"/>
          <w:sz w:val="22"/>
          <w:szCs w:val="22"/>
          <w:lang w:val="en-US"/>
        </w:rPr>
        <w:drawing>
          <wp:inline distT="0" distB="0" distL="0" distR="0" wp14:anchorId="400A1B48" wp14:editId="50051966">
            <wp:extent cx="6471920" cy="2361537"/>
            <wp:effectExtent l="0" t="0" r="5080" b="127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6F9E59C" w14:textId="77777777" w:rsidR="00D57D3E" w:rsidRPr="00BC2C75" w:rsidRDefault="00D57D3E" w:rsidP="00AD63F2">
      <w:pPr>
        <w:spacing w:line="276" w:lineRule="auto"/>
        <w:rPr>
          <w:rFonts w:ascii="GHEA Grapalat" w:hAnsi="GHEA Grapalat" w:cs="GHEA Grapalat"/>
          <w:i/>
          <w:iCs/>
          <w:sz w:val="16"/>
          <w:szCs w:val="16"/>
        </w:rPr>
      </w:pPr>
      <w:r w:rsidRPr="00BC2C75">
        <w:rPr>
          <w:rFonts w:ascii="GHEA Grapalat" w:hAnsi="GHEA Grapalat"/>
          <w:i/>
          <w:iCs/>
          <w:sz w:val="16"/>
          <w:szCs w:val="16"/>
        </w:rPr>
        <w:t>Աղբյուրը՝ ՀՀ ԿԲ</w:t>
      </w:r>
    </w:p>
    <w:p w14:paraId="5C8BAC04" w14:textId="77777777" w:rsidR="00B75093" w:rsidRPr="00B75093" w:rsidRDefault="00B75093" w:rsidP="00186A6A">
      <w:pPr>
        <w:spacing w:line="276" w:lineRule="auto"/>
        <w:ind w:firstLine="567"/>
        <w:jc w:val="both"/>
        <w:rPr>
          <w:rFonts w:ascii="GHEA Grapalat" w:eastAsia="GHEA Grapalat" w:hAnsi="GHEA Grapalat" w:cs="GHEA Grapalat"/>
          <w:iCs/>
          <w:color w:val="000000"/>
          <w:sz w:val="22"/>
          <w:szCs w:val="22"/>
        </w:rPr>
      </w:pPr>
    </w:p>
    <w:p w14:paraId="18F816DF" w14:textId="381A1B07" w:rsidR="00927AC7" w:rsidRPr="007E513A" w:rsidRDefault="00AE0B27" w:rsidP="007E513A">
      <w:pPr>
        <w:pStyle w:val="Heading4"/>
        <w:numPr>
          <w:ilvl w:val="3"/>
          <w:numId w:val="43"/>
        </w:numPr>
        <w:ind w:left="567" w:firstLine="0"/>
        <w:rPr>
          <w:i w:val="0"/>
        </w:rPr>
      </w:pPr>
      <w:r w:rsidRPr="007E513A">
        <w:rPr>
          <w:i w:val="0"/>
        </w:rPr>
        <w:t>Արտաքին առևտուր և զբոսաշրջություն</w:t>
      </w:r>
    </w:p>
    <w:bookmarkEnd w:id="5"/>
    <w:bookmarkEnd w:id="6"/>
    <w:p w14:paraId="6E90568F" w14:textId="42B6DB58" w:rsidR="00475130" w:rsidRDefault="00475130" w:rsidP="00475130">
      <w:pPr>
        <w:spacing w:line="276" w:lineRule="auto"/>
        <w:ind w:firstLine="567"/>
        <w:jc w:val="both"/>
        <w:rPr>
          <w:rFonts w:ascii="GHEA Grapalat" w:hAnsi="GHEA Grapalat"/>
          <w:sz w:val="22"/>
          <w:szCs w:val="22"/>
        </w:rPr>
      </w:pPr>
      <w:r w:rsidRPr="00B75093">
        <w:rPr>
          <w:rFonts w:ascii="GHEA Grapalat" w:eastAsia="GHEA Grapalat" w:hAnsi="GHEA Grapalat" w:cs="GHEA Grapalat"/>
          <w:b/>
          <w:i/>
          <w:iCs/>
          <w:color w:val="000000"/>
          <w:sz w:val="22"/>
          <w:szCs w:val="22"/>
        </w:rPr>
        <w:t>Արտաքին առևտուր (դոլարային արտահայտությամբ)</w:t>
      </w:r>
      <w:r w:rsidRPr="00B75093">
        <w:rPr>
          <w:rFonts w:ascii="GHEA Grapalat" w:eastAsia="GHEA Grapalat" w:hAnsi="GHEA Grapalat" w:cs="GHEA Grapalat"/>
          <w:b/>
          <w:i/>
          <w:iCs/>
          <w:color w:val="000000"/>
          <w:sz w:val="22"/>
          <w:szCs w:val="22"/>
          <w:vertAlign w:val="superscript"/>
        </w:rPr>
        <w:footnoteReference w:id="13"/>
      </w:r>
      <w:r w:rsidRPr="00B75093">
        <w:rPr>
          <w:rFonts w:ascii="GHEA Grapalat" w:eastAsia="GHEA Grapalat" w:hAnsi="GHEA Grapalat" w:cs="GHEA Grapalat"/>
          <w:b/>
          <w:i/>
          <w:iCs/>
          <w:color w:val="000000"/>
          <w:sz w:val="22"/>
          <w:szCs w:val="22"/>
        </w:rPr>
        <w:t>:</w:t>
      </w:r>
      <w:r w:rsidRPr="00B75093">
        <w:rPr>
          <w:rFonts w:ascii="GHEA Grapalat" w:eastAsia="GHEA Grapalat" w:hAnsi="GHEA Grapalat" w:cs="GHEA Grapalat"/>
          <w:iCs/>
          <w:color w:val="000000"/>
          <w:sz w:val="22"/>
          <w:szCs w:val="22"/>
        </w:rPr>
        <w:t xml:space="preserve"> 2026թ. հունվար–</w:t>
      </w:r>
      <w:r>
        <w:rPr>
          <w:rFonts w:ascii="GHEA Grapalat" w:eastAsia="GHEA Grapalat" w:hAnsi="GHEA Grapalat" w:cs="GHEA Grapalat"/>
          <w:iCs/>
          <w:color w:val="000000"/>
          <w:sz w:val="22"/>
          <w:szCs w:val="22"/>
        </w:rPr>
        <w:t>հունիս</w:t>
      </w:r>
      <w:r w:rsidRPr="00B75093">
        <w:rPr>
          <w:rFonts w:ascii="GHEA Grapalat" w:eastAsia="GHEA Grapalat" w:hAnsi="GHEA Grapalat" w:cs="GHEA Grapalat"/>
          <w:iCs/>
          <w:color w:val="000000"/>
          <w:sz w:val="22"/>
          <w:szCs w:val="22"/>
        </w:rPr>
        <w:t xml:space="preserve"> ամիսներին արտաքին</w:t>
      </w:r>
      <w:r w:rsidR="00D57D3E">
        <w:rPr>
          <w:rFonts w:ascii="GHEA Grapalat" w:eastAsia="GHEA Grapalat" w:hAnsi="GHEA Grapalat" w:cs="GHEA Grapalat"/>
          <w:iCs/>
          <w:color w:val="000000"/>
          <w:sz w:val="22"/>
          <w:szCs w:val="22"/>
        </w:rPr>
        <w:t xml:space="preserve"> </w:t>
      </w:r>
      <w:r w:rsidRPr="00B75093">
        <w:rPr>
          <w:rFonts w:ascii="GHEA Grapalat" w:eastAsia="GHEA Grapalat" w:hAnsi="GHEA Grapalat" w:cs="GHEA Grapalat"/>
          <w:iCs/>
          <w:color w:val="000000"/>
          <w:sz w:val="22"/>
          <w:szCs w:val="22"/>
        </w:rPr>
        <w:t xml:space="preserve">ապրանքաշրջանառության </w:t>
      </w:r>
      <w:r>
        <w:rPr>
          <w:rFonts w:ascii="GHEA Grapalat" w:eastAsia="GHEA Grapalat" w:hAnsi="GHEA Grapalat" w:cs="GHEA Grapalat"/>
          <w:iCs/>
          <w:color w:val="000000"/>
          <w:sz w:val="22"/>
          <w:szCs w:val="22"/>
        </w:rPr>
        <w:t>ծավալները</w:t>
      </w:r>
      <w:r w:rsidRPr="00B75093">
        <w:rPr>
          <w:rFonts w:ascii="GHEA Grapalat" w:eastAsia="GHEA Grapalat" w:hAnsi="GHEA Grapalat" w:cs="GHEA Grapalat"/>
          <w:iCs/>
          <w:color w:val="000000"/>
          <w:sz w:val="22"/>
          <w:szCs w:val="22"/>
        </w:rPr>
        <w:t xml:space="preserve"> </w:t>
      </w:r>
      <w:r w:rsidRPr="002D5399">
        <w:rPr>
          <w:rFonts w:ascii="GHEA Grapalat" w:eastAsia="GHEA Grapalat" w:hAnsi="GHEA Grapalat" w:cs="GHEA Grapalat"/>
          <w:iCs/>
          <w:color w:val="000000"/>
          <w:sz w:val="22"/>
          <w:szCs w:val="22"/>
        </w:rPr>
        <w:t>պահպանվել են նախորդ տարվա համապատասխան ժամանակահատվածի</w:t>
      </w:r>
      <w:r>
        <w:rPr>
          <w:rFonts w:ascii="GHEA Grapalat" w:eastAsia="GHEA Grapalat" w:hAnsi="GHEA Grapalat" w:cs="GHEA Grapalat"/>
          <w:iCs/>
          <w:color w:val="000000"/>
          <w:sz w:val="22"/>
          <w:szCs w:val="22"/>
        </w:rPr>
        <w:t xml:space="preserve"> </w:t>
      </w:r>
      <w:r w:rsidR="00D57D3E">
        <w:rPr>
          <w:rFonts w:ascii="GHEA Grapalat" w:eastAsia="GHEA Grapalat" w:hAnsi="GHEA Grapalat" w:cs="GHEA Grapalat"/>
          <w:iCs/>
          <w:color w:val="000000"/>
          <w:sz w:val="22"/>
          <w:szCs w:val="22"/>
        </w:rPr>
        <w:t xml:space="preserve">համեմատ </w:t>
      </w:r>
      <w:r>
        <w:rPr>
          <w:rFonts w:ascii="GHEA Grapalat" w:eastAsia="GHEA Grapalat" w:hAnsi="GHEA Grapalat" w:cs="GHEA Grapalat"/>
          <w:iCs/>
          <w:color w:val="000000"/>
          <w:sz w:val="22"/>
          <w:szCs w:val="22"/>
        </w:rPr>
        <w:t>գրեթե նույն մակարդակում</w:t>
      </w:r>
      <w:r w:rsidRPr="00B75093">
        <w:rPr>
          <w:rFonts w:ascii="GHEA Grapalat" w:eastAsia="GHEA Grapalat" w:hAnsi="GHEA Grapalat" w:cs="GHEA Grapalat"/>
          <w:iCs/>
          <w:color w:val="000000"/>
          <w:sz w:val="22"/>
          <w:szCs w:val="22"/>
        </w:rPr>
        <w:t>: Արտաքին ապրանքաշրջանառությունը 2026թ. հունվար-</w:t>
      </w:r>
      <w:r>
        <w:rPr>
          <w:rFonts w:ascii="GHEA Grapalat" w:hAnsi="GHEA Grapalat"/>
          <w:sz w:val="22"/>
          <w:szCs w:val="22"/>
        </w:rPr>
        <w:t>հունիս</w:t>
      </w:r>
      <w:r w:rsidRPr="00AE0B27">
        <w:rPr>
          <w:rFonts w:ascii="GHEA Grapalat" w:hAnsi="GHEA Grapalat"/>
          <w:sz w:val="22"/>
          <w:szCs w:val="22"/>
        </w:rPr>
        <w:t xml:space="preserve"> ամիսներին </w:t>
      </w:r>
      <w:r w:rsidRPr="00737835">
        <w:rPr>
          <w:rFonts w:ascii="GHEA Grapalat" w:hAnsi="GHEA Grapalat"/>
          <w:sz w:val="22"/>
          <w:szCs w:val="22"/>
        </w:rPr>
        <w:t xml:space="preserve">կազմել է </w:t>
      </w:r>
      <w:r>
        <w:rPr>
          <w:rFonts w:ascii="GHEA Grapalat" w:hAnsi="GHEA Grapalat"/>
          <w:sz w:val="22"/>
          <w:szCs w:val="22"/>
        </w:rPr>
        <w:t>9,571</w:t>
      </w:r>
      <w:r w:rsidRPr="00AE0B27">
        <w:rPr>
          <w:rFonts w:ascii="GHEA Grapalat" w:hAnsi="GHEA Grapalat"/>
          <w:sz w:val="22"/>
          <w:szCs w:val="22"/>
        </w:rPr>
        <w:t xml:space="preserve"> մլն ԱՄՆ դոլար` նախորդ տարվա նույն ժամանակահատվածի նկատմամբ </w:t>
      </w:r>
      <w:r>
        <w:rPr>
          <w:rFonts w:ascii="GHEA Grapalat" w:hAnsi="GHEA Grapalat"/>
          <w:sz w:val="22"/>
          <w:szCs w:val="22"/>
        </w:rPr>
        <w:t>նվազելով</w:t>
      </w:r>
      <w:r w:rsidRPr="00AE0B27">
        <w:rPr>
          <w:rFonts w:ascii="GHEA Grapalat" w:hAnsi="GHEA Grapalat"/>
          <w:sz w:val="22"/>
          <w:szCs w:val="22"/>
        </w:rPr>
        <w:t xml:space="preserve"> </w:t>
      </w:r>
      <w:r>
        <w:rPr>
          <w:rFonts w:ascii="GHEA Grapalat" w:hAnsi="GHEA Grapalat"/>
          <w:sz w:val="22"/>
          <w:szCs w:val="22"/>
        </w:rPr>
        <w:t>0.1</w:t>
      </w:r>
      <w:r w:rsidRPr="00AE0B27">
        <w:rPr>
          <w:rFonts w:ascii="GHEA Grapalat" w:hAnsi="GHEA Grapalat"/>
          <w:sz w:val="22"/>
          <w:szCs w:val="22"/>
        </w:rPr>
        <w:t>%-ով։ Հաշվետու ժամանակահատվածում արձանագրվել են դոլարային արտահայտությամբ արտահանման</w:t>
      </w:r>
      <w:r>
        <w:rPr>
          <w:rFonts w:ascii="GHEA Grapalat" w:hAnsi="GHEA Grapalat"/>
          <w:sz w:val="22"/>
          <w:szCs w:val="22"/>
        </w:rPr>
        <w:t xml:space="preserve"> նվազում</w:t>
      </w:r>
      <w:r w:rsidRPr="00AE0B27">
        <w:rPr>
          <w:rFonts w:ascii="GHEA Grapalat" w:hAnsi="GHEA Grapalat"/>
          <w:sz w:val="22"/>
          <w:szCs w:val="22"/>
        </w:rPr>
        <w:t xml:space="preserve"> և ներմուծման </w:t>
      </w:r>
      <w:r>
        <w:rPr>
          <w:rFonts w:ascii="GHEA Grapalat" w:hAnsi="GHEA Grapalat"/>
          <w:sz w:val="22"/>
          <w:szCs w:val="22"/>
        </w:rPr>
        <w:t>աճ</w:t>
      </w:r>
      <w:r w:rsidRPr="00AE0B27">
        <w:rPr>
          <w:rFonts w:ascii="GHEA Grapalat" w:hAnsi="GHEA Grapalat"/>
          <w:sz w:val="22"/>
          <w:szCs w:val="22"/>
        </w:rPr>
        <w:t>. արտահանում</w:t>
      </w:r>
      <w:r>
        <w:rPr>
          <w:rFonts w:ascii="GHEA Grapalat" w:hAnsi="GHEA Grapalat"/>
          <w:sz w:val="22"/>
          <w:szCs w:val="22"/>
        </w:rPr>
        <w:t>ը</w:t>
      </w:r>
      <w:r w:rsidRPr="00AE0B27">
        <w:rPr>
          <w:rFonts w:ascii="GHEA Grapalat" w:hAnsi="GHEA Grapalat"/>
          <w:sz w:val="22"/>
          <w:szCs w:val="22"/>
        </w:rPr>
        <w:t xml:space="preserve"> </w:t>
      </w:r>
      <w:r>
        <w:rPr>
          <w:rFonts w:ascii="GHEA Grapalat" w:hAnsi="GHEA Grapalat"/>
          <w:sz w:val="22"/>
          <w:szCs w:val="22"/>
        </w:rPr>
        <w:t>նվազել</w:t>
      </w:r>
      <w:r w:rsidRPr="00AE0B27">
        <w:rPr>
          <w:rFonts w:ascii="GHEA Grapalat" w:hAnsi="GHEA Grapalat"/>
          <w:sz w:val="22"/>
          <w:szCs w:val="22"/>
        </w:rPr>
        <w:t xml:space="preserve"> է </w:t>
      </w:r>
      <w:r>
        <w:rPr>
          <w:rFonts w:ascii="GHEA Grapalat" w:eastAsia="GHEA Grapalat" w:hAnsi="GHEA Grapalat" w:cs="GHEA Grapalat"/>
          <w:sz w:val="22"/>
          <w:szCs w:val="22"/>
        </w:rPr>
        <w:t>6.7</w:t>
      </w:r>
      <w:r w:rsidRPr="00AE0B27">
        <w:rPr>
          <w:rFonts w:ascii="GHEA Grapalat" w:hAnsi="GHEA Grapalat"/>
          <w:sz w:val="22"/>
          <w:szCs w:val="22"/>
        </w:rPr>
        <w:t xml:space="preserve">%-ով` կազմելով </w:t>
      </w:r>
      <w:r>
        <w:rPr>
          <w:rFonts w:ascii="GHEA Grapalat" w:hAnsi="GHEA Grapalat"/>
          <w:sz w:val="22"/>
          <w:szCs w:val="22"/>
        </w:rPr>
        <w:t>3,431</w:t>
      </w:r>
      <w:r w:rsidRPr="00AE0B27">
        <w:rPr>
          <w:rFonts w:ascii="GHEA Grapalat" w:hAnsi="GHEA Grapalat"/>
          <w:sz w:val="22"/>
          <w:szCs w:val="22"/>
        </w:rPr>
        <w:t xml:space="preserve"> մլն ԱՄՆ դոլար, իսկ ներմուծում</w:t>
      </w:r>
      <w:r w:rsidR="006D5E7A">
        <w:rPr>
          <w:rFonts w:ascii="GHEA Grapalat" w:hAnsi="GHEA Grapalat"/>
          <w:sz w:val="22"/>
          <w:szCs w:val="22"/>
          <w:lang w:val="en-US"/>
        </w:rPr>
        <w:t>ն</w:t>
      </w:r>
      <w:r>
        <w:rPr>
          <w:rFonts w:ascii="GHEA Grapalat" w:hAnsi="GHEA Grapalat"/>
          <w:sz w:val="22"/>
          <w:szCs w:val="22"/>
        </w:rPr>
        <w:t xml:space="preserve"> աճել</w:t>
      </w:r>
      <w:r w:rsidR="00D57D3E">
        <w:rPr>
          <w:rFonts w:ascii="GHEA Grapalat" w:hAnsi="GHEA Grapalat"/>
          <w:sz w:val="22"/>
          <w:szCs w:val="22"/>
        </w:rPr>
        <w:t xml:space="preserve"> է</w:t>
      </w:r>
      <w:r w:rsidRPr="00AE0B27">
        <w:rPr>
          <w:rFonts w:ascii="GHEA Grapalat" w:hAnsi="GHEA Grapalat"/>
          <w:sz w:val="22"/>
          <w:szCs w:val="22"/>
        </w:rPr>
        <w:t xml:space="preserve"> </w:t>
      </w:r>
      <w:r>
        <w:rPr>
          <w:rFonts w:ascii="GHEA Grapalat" w:hAnsi="GHEA Grapalat"/>
          <w:sz w:val="22"/>
          <w:szCs w:val="22"/>
        </w:rPr>
        <w:t>4</w:t>
      </w:r>
      <w:r w:rsidRPr="00AE0B27">
        <w:rPr>
          <w:rFonts w:ascii="GHEA Grapalat" w:hAnsi="GHEA Grapalat"/>
          <w:sz w:val="22"/>
          <w:szCs w:val="22"/>
        </w:rPr>
        <w:t xml:space="preserve">%-ով՝ կազմելով </w:t>
      </w:r>
      <w:r>
        <w:rPr>
          <w:rFonts w:ascii="GHEA Grapalat" w:hAnsi="GHEA Grapalat"/>
          <w:sz w:val="22"/>
          <w:szCs w:val="22"/>
        </w:rPr>
        <w:t>6,140 մլն ԱՄՆ դոլար: 2026</w:t>
      </w:r>
      <w:r w:rsidRPr="00AE0B27">
        <w:rPr>
          <w:rFonts w:ascii="GHEA Grapalat" w:hAnsi="GHEA Grapalat"/>
          <w:sz w:val="22"/>
          <w:szCs w:val="22"/>
        </w:rPr>
        <w:t>թ</w:t>
      </w:r>
      <w:r>
        <w:rPr>
          <w:rFonts w:ascii="Cambria Math" w:hAnsi="Cambria Math"/>
          <w:sz w:val="22"/>
          <w:szCs w:val="22"/>
        </w:rPr>
        <w:t>․</w:t>
      </w:r>
      <w:r w:rsidRPr="00AE0B27">
        <w:rPr>
          <w:rFonts w:ascii="GHEA Grapalat" w:hAnsi="GHEA Grapalat"/>
          <w:sz w:val="22"/>
          <w:szCs w:val="22"/>
        </w:rPr>
        <w:t xml:space="preserve"> </w:t>
      </w:r>
      <w:r>
        <w:rPr>
          <w:rFonts w:ascii="GHEA Grapalat" w:hAnsi="GHEA Grapalat"/>
          <w:sz w:val="22"/>
          <w:szCs w:val="22"/>
        </w:rPr>
        <w:t>առաջին կիսամյակում</w:t>
      </w:r>
      <w:r w:rsidRPr="00AE0B27">
        <w:rPr>
          <w:rFonts w:ascii="GHEA Grapalat" w:hAnsi="GHEA Grapalat"/>
          <w:sz w:val="22"/>
          <w:szCs w:val="22"/>
        </w:rPr>
        <w:t xml:space="preserve"> արտաքին առևտրի </w:t>
      </w:r>
      <w:r w:rsidRPr="00160C57">
        <w:rPr>
          <w:rFonts w:ascii="GHEA Grapalat" w:hAnsi="GHEA Grapalat"/>
          <w:sz w:val="22"/>
          <w:szCs w:val="22"/>
        </w:rPr>
        <w:t>բացասական հաշվեկշիռը՝ պայմանավորված արտահանման ծավալների նվազմամբ և ներմուծման ծավալների աճով, նախորդ տարվա նույն ժամանակահատվ</w:t>
      </w:r>
      <w:r w:rsidR="00EB5A69">
        <w:rPr>
          <w:rFonts w:ascii="GHEA Grapalat" w:hAnsi="GHEA Grapalat"/>
          <w:sz w:val="22"/>
          <w:szCs w:val="22"/>
        </w:rPr>
        <w:t>ածի նկատմամբ վատթարացել է 21.6%</w:t>
      </w:r>
      <w:r w:rsidR="00EB5A69">
        <w:rPr>
          <w:rFonts w:ascii="GHEA Grapalat" w:hAnsi="GHEA Grapalat"/>
          <w:sz w:val="22"/>
          <w:szCs w:val="22"/>
        </w:rPr>
        <w:noBreakHyphen/>
      </w:r>
      <w:r w:rsidRPr="00160C57">
        <w:rPr>
          <w:rFonts w:ascii="GHEA Grapalat" w:hAnsi="GHEA Grapalat"/>
          <w:sz w:val="22"/>
          <w:szCs w:val="22"/>
        </w:rPr>
        <w:t>ով և կազմել 2,708 մլն ԱՄՆ դոլար:</w:t>
      </w:r>
    </w:p>
    <w:p w14:paraId="3255A7A8" w14:textId="77777777" w:rsidR="00475130" w:rsidRPr="00345A1C" w:rsidRDefault="00475130" w:rsidP="00475130">
      <w:pPr>
        <w:spacing w:line="276" w:lineRule="auto"/>
        <w:ind w:firstLine="567"/>
        <w:jc w:val="both"/>
        <w:rPr>
          <w:rFonts w:ascii="GHEA Grapalat" w:hAnsi="GHEA Grapalat"/>
          <w:sz w:val="22"/>
          <w:szCs w:val="22"/>
        </w:rPr>
      </w:pPr>
    </w:p>
    <w:p w14:paraId="1B0DADAD" w14:textId="77777777" w:rsidR="00475130" w:rsidRPr="00B75093" w:rsidRDefault="00475130" w:rsidP="00EB5A69">
      <w:pPr>
        <w:pStyle w:val="ListParagraph"/>
        <w:keepNext/>
        <w:keepLines/>
        <w:numPr>
          <w:ilvl w:val="0"/>
          <w:numId w:val="42"/>
        </w:numPr>
        <w:tabs>
          <w:tab w:val="left" w:pos="0"/>
          <w:tab w:val="left" w:pos="284"/>
          <w:tab w:val="left" w:pos="1134"/>
          <w:tab w:val="left" w:pos="1276"/>
          <w:tab w:val="left" w:pos="1418"/>
          <w:tab w:val="left" w:pos="1530"/>
          <w:tab w:val="left" w:pos="1888"/>
        </w:tabs>
        <w:autoSpaceDE w:val="0"/>
        <w:autoSpaceDN w:val="0"/>
        <w:adjustRightInd w:val="0"/>
        <w:spacing w:after="0"/>
        <w:ind w:left="0" w:firstLine="0"/>
        <w:rPr>
          <w:rFonts w:ascii="GHEA Grapalat" w:eastAsia="GHEA Grapalat" w:hAnsi="GHEA Grapalat" w:cs="GHEA Grapalat"/>
          <w:b/>
          <w:sz w:val="18"/>
          <w:szCs w:val="18"/>
          <w:lang w:val="hy-AM"/>
        </w:rPr>
      </w:pPr>
      <w:r w:rsidRPr="00B75093">
        <w:rPr>
          <w:rFonts w:ascii="GHEA Grapalat" w:eastAsia="GHEA Grapalat" w:hAnsi="GHEA Grapalat" w:cs="GHEA Grapalat"/>
          <w:b/>
          <w:sz w:val="18"/>
          <w:szCs w:val="18"/>
          <w:lang w:val="hy-AM"/>
        </w:rPr>
        <w:t>Առևտրային հաշվեկշռի դինամիկան հունվար-</w:t>
      </w:r>
      <w:r>
        <w:rPr>
          <w:rFonts w:ascii="GHEA Grapalat" w:eastAsia="GHEA Grapalat" w:hAnsi="GHEA Grapalat" w:cs="GHEA Grapalat"/>
          <w:b/>
          <w:sz w:val="18"/>
          <w:szCs w:val="18"/>
          <w:lang w:val="hy-AM"/>
        </w:rPr>
        <w:t>հունիս</w:t>
      </w:r>
      <w:r w:rsidRPr="00B75093">
        <w:rPr>
          <w:rFonts w:ascii="GHEA Grapalat" w:eastAsia="GHEA Grapalat" w:hAnsi="GHEA Grapalat" w:cs="GHEA Grapalat"/>
          <w:b/>
          <w:sz w:val="18"/>
          <w:szCs w:val="18"/>
          <w:lang w:val="hy-AM"/>
        </w:rPr>
        <w:t xml:space="preserve"> ամիսներին (մլն ԱՄՆ դոլար)</w:t>
      </w:r>
      <w:r w:rsidRPr="00B75093">
        <w:rPr>
          <w:rFonts w:ascii="GHEA Grapalat" w:eastAsia="GHEA Grapalat" w:hAnsi="GHEA Grapalat" w:cs="GHEA Grapalat"/>
          <w:b/>
          <w:sz w:val="18"/>
          <w:szCs w:val="18"/>
          <w:vertAlign w:val="superscript"/>
        </w:rPr>
        <w:footnoteReference w:id="14"/>
      </w:r>
    </w:p>
    <w:p w14:paraId="76CC90EC" w14:textId="77777777" w:rsidR="00475130" w:rsidRDefault="00475130" w:rsidP="00EB5A69">
      <w:pPr>
        <w:keepNext/>
        <w:spacing w:line="276" w:lineRule="auto"/>
        <w:rPr>
          <w:rFonts w:ascii="GHEA Grapalat" w:eastAsia="GHEA Grapalat" w:hAnsi="GHEA Grapalat" w:cs="GHEA Grapalat"/>
          <w:sz w:val="22"/>
          <w:szCs w:val="22"/>
          <w:highlight w:val="yellow"/>
        </w:rPr>
      </w:pPr>
      <w:r w:rsidRPr="00AE0B27">
        <w:rPr>
          <w:rFonts w:ascii="GHEA Grapalat" w:hAnsi="GHEA Grapalat"/>
          <w:sz w:val="22"/>
          <w:szCs w:val="22"/>
          <w:lang w:val="en-US"/>
        </w:rPr>
        <w:drawing>
          <wp:inline distT="0" distB="0" distL="0" distR="0" wp14:anchorId="157C99B8" wp14:editId="0948F8D7">
            <wp:extent cx="6456459" cy="2410460"/>
            <wp:effectExtent l="0" t="0" r="1905" b="8890"/>
            <wp:docPr id="18" name="Chart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0E0AE17" w14:textId="77777777" w:rsidR="00475130" w:rsidRPr="00345A1C" w:rsidRDefault="00475130" w:rsidP="00475130">
      <w:pPr>
        <w:keepNext/>
        <w:spacing w:line="276" w:lineRule="auto"/>
        <w:rPr>
          <w:rFonts w:ascii="GHEA Grapalat" w:eastAsia="GHEA Grapalat" w:hAnsi="GHEA Grapalat" w:cs="GHEA Grapalat"/>
          <w:i/>
          <w:color w:val="000000"/>
          <w:sz w:val="16"/>
          <w:szCs w:val="16"/>
        </w:rPr>
      </w:pPr>
      <w:r w:rsidRPr="00345A1C">
        <w:rPr>
          <w:rFonts w:ascii="GHEA Grapalat" w:eastAsia="GHEA Grapalat" w:hAnsi="GHEA Grapalat" w:cs="GHEA Grapalat"/>
          <w:i/>
          <w:color w:val="000000"/>
          <w:sz w:val="16"/>
          <w:szCs w:val="16"/>
        </w:rPr>
        <w:t>Աղբյուրը՝ ՀՀ ՎԿ և ՀՀ ՖՆ հաշվարկներ</w:t>
      </w:r>
    </w:p>
    <w:p w14:paraId="668361AC" w14:textId="77777777" w:rsidR="00475130" w:rsidRPr="00B75093" w:rsidRDefault="00475130" w:rsidP="00475130">
      <w:pPr>
        <w:spacing w:line="276" w:lineRule="auto"/>
        <w:ind w:firstLine="567"/>
        <w:jc w:val="both"/>
        <w:rPr>
          <w:rFonts w:ascii="GHEA Grapalat" w:hAnsi="GHEA Grapalat"/>
          <w:sz w:val="22"/>
          <w:szCs w:val="22"/>
        </w:rPr>
      </w:pPr>
    </w:p>
    <w:p w14:paraId="594701F6" w14:textId="697CEED8" w:rsidR="00475130" w:rsidRPr="0091615A" w:rsidRDefault="00475130" w:rsidP="00475130">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Արտահանում:</w:t>
      </w:r>
      <w:r w:rsidRPr="00345A1C">
        <w:rPr>
          <w:rFonts w:ascii="GHEA Grapalat" w:eastAsia="GHEA Grapalat" w:hAnsi="GHEA Grapalat" w:cs="GHEA Grapalat"/>
          <w:sz w:val="22"/>
          <w:szCs w:val="22"/>
        </w:rPr>
        <w:t xml:space="preserve"> </w:t>
      </w:r>
      <w:r w:rsidRPr="00B75093">
        <w:rPr>
          <w:rFonts w:ascii="GHEA Grapalat" w:hAnsi="GHEA Grapalat"/>
          <w:sz w:val="22"/>
          <w:szCs w:val="22"/>
        </w:rPr>
        <w:t>Ապրանքների արտահանումը</w:t>
      </w:r>
      <w:r>
        <w:rPr>
          <w:rFonts w:ascii="GHEA Grapalat" w:hAnsi="GHEA Grapalat"/>
          <w:sz w:val="22"/>
          <w:szCs w:val="22"/>
        </w:rPr>
        <w:t xml:space="preserve"> </w:t>
      </w:r>
      <w:r w:rsidRPr="00B75093">
        <w:rPr>
          <w:rFonts w:ascii="GHEA Grapalat" w:hAnsi="GHEA Grapalat"/>
          <w:sz w:val="22"/>
          <w:szCs w:val="22"/>
        </w:rPr>
        <w:t>2026թ. հունվար-</w:t>
      </w:r>
      <w:r>
        <w:rPr>
          <w:rFonts w:ascii="GHEA Grapalat" w:hAnsi="GHEA Grapalat"/>
          <w:sz w:val="22"/>
          <w:szCs w:val="22"/>
        </w:rPr>
        <w:t>հունիս</w:t>
      </w:r>
      <w:r w:rsidRPr="00B75093">
        <w:rPr>
          <w:rFonts w:ascii="GHEA Grapalat" w:hAnsi="GHEA Grapalat"/>
          <w:sz w:val="22"/>
          <w:szCs w:val="22"/>
        </w:rPr>
        <w:t xml:space="preserve"> ամիսներին նախորդ տարվա նույն ժամանակաշրջանի համեմատ </w:t>
      </w:r>
      <w:r>
        <w:rPr>
          <w:rFonts w:ascii="GHEA Grapalat" w:hAnsi="GHEA Grapalat"/>
          <w:sz w:val="22"/>
          <w:szCs w:val="22"/>
        </w:rPr>
        <w:t>նվազել</w:t>
      </w:r>
      <w:r w:rsidRPr="00B75093">
        <w:rPr>
          <w:rFonts w:ascii="GHEA Grapalat" w:hAnsi="GHEA Grapalat"/>
          <w:sz w:val="22"/>
          <w:szCs w:val="22"/>
        </w:rPr>
        <w:t xml:space="preserve"> է </w:t>
      </w:r>
      <w:r>
        <w:rPr>
          <w:rFonts w:ascii="GHEA Grapalat" w:hAnsi="GHEA Grapalat"/>
          <w:sz w:val="22"/>
          <w:szCs w:val="22"/>
        </w:rPr>
        <w:t>6.7</w:t>
      </w:r>
      <w:r w:rsidRPr="00B75093">
        <w:rPr>
          <w:rFonts w:ascii="GHEA Grapalat" w:hAnsi="GHEA Grapalat"/>
          <w:sz w:val="22"/>
          <w:szCs w:val="22"/>
        </w:rPr>
        <w:t>%</w:t>
      </w:r>
      <w:r w:rsidRPr="00227FA1">
        <w:rPr>
          <w:rFonts w:ascii="GHEA Grapalat" w:hAnsi="GHEA Grapalat"/>
          <w:sz w:val="22"/>
          <w:szCs w:val="22"/>
        </w:rPr>
        <w:t>-</w:t>
      </w:r>
      <w:r w:rsidRPr="00B75093">
        <w:rPr>
          <w:rFonts w:ascii="GHEA Grapalat" w:hAnsi="GHEA Grapalat"/>
          <w:sz w:val="22"/>
          <w:szCs w:val="22"/>
        </w:rPr>
        <w:t>ով</w:t>
      </w:r>
      <w:r w:rsidRPr="00297396">
        <w:rPr>
          <w:rFonts w:ascii="GHEA Grapalat" w:hAnsi="GHEA Grapalat"/>
          <w:sz w:val="22"/>
          <w:szCs w:val="22"/>
        </w:rPr>
        <w:t>:</w:t>
      </w:r>
      <w:r>
        <w:rPr>
          <w:rFonts w:ascii="GHEA Grapalat" w:hAnsi="GHEA Grapalat"/>
          <w:sz w:val="22"/>
          <w:szCs w:val="22"/>
        </w:rPr>
        <w:t xml:space="preserve"> Առաջին կիսամյակի ա</w:t>
      </w:r>
      <w:r w:rsidRPr="00297396">
        <w:rPr>
          <w:rFonts w:ascii="GHEA Grapalat" w:hAnsi="GHEA Grapalat"/>
          <w:sz w:val="22"/>
          <w:szCs w:val="22"/>
        </w:rPr>
        <w:t xml:space="preserve">րտահանման </w:t>
      </w:r>
      <w:r>
        <w:rPr>
          <w:rFonts w:ascii="GHEA Grapalat" w:hAnsi="GHEA Grapalat"/>
          <w:sz w:val="22"/>
          <w:szCs w:val="22"/>
        </w:rPr>
        <w:t>նվազում</w:t>
      </w:r>
      <w:r w:rsidR="00D933A2">
        <w:rPr>
          <w:rFonts w:ascii="GHEA Grapalat" w:hAnsi="GHEA Grapalat"/>
          <w:sz w:val="22"/>
          <w:szCs w:val="22"/>
          <w:lang w:val="en-US"/>
        </w:rPr>
        <w:t>ը</w:t>
      </w:r>
      <w:r w:rsidRPr="00297396">
        <w:rPr>
          <w:rFonts w:ascii="GHEA Grapalat" w:hAnsi="GHEA Grapalat"/>
          <w:sz w:val="22"/>
          <w:szCs w:val="22"/>
        </w:rPr>
        <w:t xml:space="preserve"> </w:t>
      </w:r>
      <w:r>
        <w:rPr>
          <w:rFonts w:ascii="GHEA Grapalat" w:hAnsi="GHEA Grapalat"/>
          <w:sz w:val="22"/>
          <w:szCs w:val="22"/>
        </w:rPr>
        <w:t>պայմանավորվել է հիմնականում վերաարտահանման նվազմամբ և հայկական ծագման որոշ ապրանքատեսակների արտահանման սահմանափակումներով: Ապրանքների արտահանման իրական ծավալներ</w:t>
      </w:r>
      <w:r w:rsidR="00D933A2">
        <w:rPr>
          <w:rFonts w:ascii="GHEA Grapalat" w:hAnsi="GHEA Grapalat"/>
          <w:sz w:val="22"/>
          <w:szCs w:val="22"/>
          <w:lang w:val="en-US"/>
        </w:rPr>
        <w:t>ը</w:t>
      </w:r>
      <w:r>
        <w:rPr>
          <w:rFonts w:ascii="GHEA Grapalat" w:hAnsi="GHEA Grapalat"/>
          <w:sz w:val="22"/>
          <w:szCs w:val="22"/>
        </w:rPr>
        <w:t xml:space="preserve"> նվազել են 6%-ով</w:t>
      </w:r>
      <w:r w:rsidRPr="00345A1C">
        <w:rPr>
          <w:rFonts w:ascii="GHEA Grapalat" w:hAnsi="GHEA Grapalat"/>
          <w:sz w:val="22"/>
          <w:szCs w:val="22"/>
        </w:rPr>
        <w:t>:</w:t>
      </w:r>
      <w:r w:rsidRPr="0091615A">
        <w:rPr>
          <w:rFonts w:ascii="GHEA Grapalat" w:hAnsi="GHEA Grapalat"/>
          <w:sz w:val="22"/>
          <w:szCs w:val="22"/>
        </w:rPr>
        <w:t xml:space="preserve"> </w:t>
      </w:r>
      <w:r>
        <w:rPr>
          <w:rFonts w:ascii="GHEA Grapalat" w:hAnsi="GHEA Grapalat"/>
          <w:sz w:val="22"/>
          <w:szCs w:val="22"/>
        </w:rPr>
        <w:t>Հատկանշական է, որ հայկական ծագման ապրանքների արտահանումն ընթացիկ տարվա վեց ամիսներին</w:t>
      </w:r>
      <w:r w:rsidRPr="005B4FD3">
        <w:t xml:space="preserve"> </w:t>
      </w:r>
      <w:r>
        <w:rPr>
          <w:rFonts w:ascii="GHEA Grapalat" w:hAnsi="GHEA Grapalat"/>
          <w:sz w:val="22"/>
          <w:szCs w:val="22"/>
        </w:rPr>
        <w:t xml:space="preserve">գրանցել է </w:t>
      </w:r>
      <w:r w:rsidR="00344FB1">
        <w:rPr>
          <w:rFonts w:ascii="GHEA Grapalat" w:hAnsi="GHEA Grapalat"/>
          <w:sz w:val="22"/>
          <w:szCs w:val="22"/>
        </w:rPr>
        <w:t xml:space="preserve">երկնիշ </w:t>
      </w:r>
      <w:r>
        <w:rPr>
          <w:rFonts w:ascii="GHEA Grapalat" w:hAnsi="GHEA Grapalat"/>
          <w:sz w:val="22"/>
          <w:szCs w:val="22"/>
        </w:rPr>
        <w:t>աճ</w:t>
      </w:r>
      <w:r w:rsidR="00344FB1">
        <w:rPr>
          <w:rFonts w:ascii="GHEA Grapalat" w:hAnsi="GHEA Grapalat"/>
          <w:sz w:val="22"/>
          <w:szCs w:val="22"/>
        </w:rPr>
        <w:t>՝ պայմանավորված հիմնականում հանքահումքային ապրանքատեսակների արտահանման բարձր աճով</w:t>
      </w:r>
      <w:r>
        <w:rPr>
          <w:rFonts w:ascii="GHEA Grapalat" w:hAnsi="GHEA Grapalat"/>
          <w:sz w:val="22"/>
          <w:szCs w:val="22"/>
        </w:rPr>
        <w:t>:</w:t>
      </w:r>
    </w:p>
    <w:p w14:paraId="14232B96" w14:textId="77777777" w:rsidR="00475130" w:rsidRDefault="00475130" w:rsidP="00C17EA3">
      <w:pPr>
        <w:spacing w:line="276" w:lineRule="auto"/>
        <w:ind w:firstLine="567"/>
        <w:jc w:val="both"/>
        <w:rPr>
          <w:rFonts w:ascii="GHEA Grapalat" w:eastAsia="GHEA Grapalat" w:hAnsi="GHEA Grapalat" w:cs="GHEA Grapalat"/>
          <w:sz w:val="22"/>
          <w:szCs w:val="22"/>
        </w:rPr>
      </w:pPr>
      <w:r w:rsidRPr="00CD346C">
        <w:rPr>
          <w:rFonts w:ascii="GHEA Grapalat" w:eastAsia="GHEA Grapalat" w:hAnsi="GHEA Grapalat" w:cs="GHEA Grapalat"/>
          <w:sz w:val="22"/>
          <w:szCs w:val="22"/>
        </w:rPr>
        <w:t>Արտահանման</w:t>
      </w:r>
      <w:r w:rsidRPr="0091615A">
        <w:rPr>
          <w:rFonts w:ascii="GHEA Grapalat" w:eastAsia="GHEA Grapalat" w:hAnsi="GHEA Grapalat" w:cs="GHEA Grapalat"/>
          <w:sz w:val="22"/>
          <w:szCs w:val="22"/>
        </w:rPr>
        <w:t xml:space="preserve"> </w:t>
      </w:r>
      <w:r>
        <w:rPr>
          <w:rFonts w:ascii="GHEA Grapalat" w:eastAsia="GHEA Grapalat" w:hAnsi="GHEA Grapalat" w:cs="GHEA Grapalat"/>
          <w:sz w:val="22"/>
          <w:szCs w:val="22"/>
        </w:rPr>
        <w:t>6.7</w:t>
      </w:r>
      <w:r w:rsidRPr="0091615A">
        <w:rPr>
          <w:rFonts w:ascii="GHEA Grapalat" w:eastAsia="GHEA Grapalat" w:hAnsi="GHEA Grapalat" w:cs="GHEA Grapalat"/>
          <w:sz w:val="22"/>
          <w:szCs w:val="22"/>
        </w:rPr>
        <w:t>%</w:t>
      </w:r>
      <w:r w:rsidRPr="00CD346C">
        <w:rPr>
          <w:rFonts w:ascii="GHEA Grapalat" w:eastAsia="GHEA Grapalat" w:hAnsi="GHEA Grapalat" w:cs="GHEA Grapalat"/>
          <w:sz w:val="22"/>
          <w:szCs w:val="22"/>
        </w:rPr>
        <w:t xml:space="preserve"> </w:t>
      </w:r>
      <w:r>
        <w:rPr>
          <w:rFonts w:ascii="GHEA Grapalat" w:eastAsia="GHEA Grapalat" w:hAnsi="GHEA Grapalat" w:cs="GHEA Grapalat"/>
          <w:sz w:val="22"/>
          <w:szCs w:val="22"/>
        </w:rPr>
        <w:t>նվազմանը</w:t>
      </w:r>
      <w:r w:rsidRPr="00CD346C">
        <w:rPr>
          <w:rFonts w:ascii="GHEA Grapalat" w:eastAsia="GHEA Grapalat" w:hAnsi="GHEA Grapalat" w:cs="GHEA Grapalat"/>
          <w:sz w:val="22"/>
          <w:szCs w:val="22"/>
        </w:rPr>
        <w:t xml:space="preserve"> ամենամեծ նպաստումն է ուն</w:t>
      </w:r>
      <w:r w:rsidRPr="003D5FC7">
        <w:rPr>
          <w:rFonts w:ascii="GHEA Grapalat" w:eastAsia="GHEA Grapalat" w:hAnsi="GHEA Grapalat" w:cs="GHEA Grapalat"/>
          <w:sz w:val="22"/>
          <w:szCs w:val="22"/>
        </w:rPr>
        <w:t>ե</w:t>
      </w:r>
      <w:r w:rsidRPr="00CD346C">
        <w:rPr>
          <w:rFonts w:ascii="GHEA Grapalat" w:eastAsia="GHEA Grapalat" w:hAnsi="GHEA Grapalat" w:cs="GHEA Grapalat"/>
          <w:sz w:val="22"/>
          <w:szCs w:val="22"/>
        </w:rPr>
        <w:t xml:space="preserve">ցել </w:t>
      </w:r>
      <w:r w:rsidRPr="00345A1C">
        <w:rPr>
          <w:rFonts w:ascii="GHEA Grapalat" w:eastAsia="GHEA Grapalat" w:hAnsi="GHEA Grapalat" w:cs="GHEA Grapalat"/>
          <w:sz w:val="22"/>
          <w:szCs w:val="22"/>
        </w:rPr>
        <w:t>«</w:t>
      </w:r>
      <w:r w:rsidRPr="00345A1C">
        <w:rPr>
          <w:rFonts w:ascii="GHEA Grapalat" w:hAnsi="GHEA Grapalat"/>
          <w:sz w:val="22"/>
          <w:szCs w:val="22"/>
        </w:rPr>
        <w:t>Թանկարժեք և կիսաթանկարժեք քարեր, թանկարժեք մետաղներ և դրանցից իրեր</w:t>
      </w:r>
      <w:r w:rsidRPr="00345A1C">
        <w:rPr>
          <w:rFonts w:ascii="GHEA Grapalat" w:eastAsia="GHEA Grapalat" w:hAnsi="GHEA Grapalat" w:cs="GHEA Grapalat"/>
          <w:sz w:val="22"/>
          <w:szCs w:val="22"/>
        </w:rPr>
        <w:t xml:space="preserve">» </w:t>
      </w:r>
      <w:r w:rsidRPr="00EA4913">
        <w:rPr>
          <w:rFonts w:ascii="GHEA Grapalat" w:eastAsia="GHEA Grapalat" w:hAnsi="GHEA Grapalat" w:cs="GHEA Grapalat"/>
          <w:sz w:val="22"/>
          <w:szCs w:val="22"/>
        </w:rPr>
        <w:t>(</w:t>
      </w:r>
      <w:r>
        <w:rPr>
          <w:rFonts w:ascii="GHEA Grapalat" w:eastAsia="GHEA Grapalat" w:hAnsi="GHEA Grapalat" w:cs="GHEA Grapalat"/>
          <w:sz w:val="22"/>
          <w:szCs w:val="22"/>
        </w:rPr>
        <w:t>17.8</w:t>
      </w:r>
      <w:r w:rsidRPr="00345A1C">
        <w:rPr>
          <w:rFonts w:ascii="GHEA Grapalat" w:eastAsia="GHEA Grapalat" w:hAnsi="GHEA Grapalat" w:cs="GHEA Grapalat"/>
          <w:sz w:val="22"/>
          <w:szCs w:val="22"/>
        </w:rPr>
        <w:t xml:space="preserve"> տոկոսային կետ)</w:t>
      </w:r>
      <w:r>
        <w:rPr>
          <w:rFonts w:ascii="GHEA Grapalat" w:eastAsia="GHEA Grapalat" w:hAnsi="GHEA Grapalat" w:cs="GHEA Grapalat"/>
          <w:sz w:val="22"/>
          <w:szCs w:val="22"/>
        </w:rPr>
        <w:t xml:space="preserve"> ապրանքախումբը՝ </w:t>
      </w:r>
      <w:r w:rsidRPr="00313C39">
        <w:rPr>
          <w:rFonts w:ascii="GHEA Grapalat" w:hAnsi="GHEA Grapalat"/>
          <w:sz w:val="22"/>
          <w:szCs w:val="22"/>
        </w:rPr>
        <w:t>պայմանավորված վերաարտահանման</w:t>
      </w:r>
      <w:r>
        <w:rPr>
          <w:rFonts w:ascii="GHEA Grapalat" w:hAnsi="GHEA Grapalat"/>
          <w:sz w:val="22"/>
          <w:szCs w:val="22"/>
        </w:rPr>
        <w:t xml:space="preserve"> ծավալների կրճատմամբ, ինչպես նաև </w:t>
      </w:r>
      <w:r w:rsidRPr="00345A1C">
        <w:rPr>
          <w:rFonts w:ascii="GHEA Grapalat" w:eastAsia="GHEA Grapalat" w:hAnsi="GHEA Grapalat" w:cs="GHEA Grapalat"/>
          <w:sz w:val="22"/>
          <w:szCs w:val="22"/>
        </w:rPr>
        <w:lastRenderedPageBreak/>
        <w:t>«</w:t>
      </w:r>
      <w:r w:rsidRPr="00D033AB">
        <w:rPr>
          <w:rFonts w:ascii="GHEA Grapalat" w:eastAsia="GHEA Grapalat" w:hAnsi="GHEA Grapalat" w:cs="GHEA Grapalat"/>
          <w:sz w:val="22"/>
          <w:szCs w:val="22"/>
        </w:rPr>
        <w:t>Բուսական ծագման արտադրանք</w:t>
      </w:r>
      <w:r w:rsidRPr="00345A1C">
        <w:rPr>
          <w:rFonts w:ascii="GHEA Grapalat" w:eastAsia="GHEA Grapalat" w:hAnsi="GHEA Grapalat" w:cs="GHEA Grapalat"/>
          <w:sz w:val="22"/>
          <w:szCs w:val="22"/>
        </w:rPr>
        <w:t>» (</w:t>
      </w:r>
      <w:r>
        <w:rPr>
          <w:rFonts w:ascii="GHEA Grapalat" w:eastAsia="GHEA Grapalat" w:hAnsi="GHEA Grapalat" w:cs="GHEA Grapalat"/>
          <w:sz w:val="22"/>
          <w:szCs w:val="22"/>
        </w:rPr>
        <w:t xml:space="preserve">1 </w:t>
      </w:r>
      <w:r w:rsidRPr="00345A1C">
        <w:rPr>
          <w:rFonts w:ascii="GHEA Grapalat" w:eastAsia="GHEA Grapalat" w:hAnsi="GHEA Grapalat" w:cs="GHEA Grapalat"/>
          <w:sz w:val="22"/>
          <w:szCs w:val="22"/>
        </w:rPr>
        <w:t>տոկոսային կետ</w:t>
      </w:r>
      <w:r>
        <w:rPr>
          <w:rFonts w:ascii="GHEA Grapalat" w:eastAsia="GHEA Grapalat" w:hAnsi="GHEA Grapalat" w:cs="GHEA Grapalat"/>
          <w:sz w:val="22"/>
          <w:szCs w:val="22"/>
        </w:rPr>
        <w:t>՝ պայմանավորված արտահանման սահմանափակումներով</w:t>
      </w:r>
      <w:r w:rsidRPr="00345A1C">
        <w:rPr>
          <w:rFonts w:ascii="GHEA Grapalat" w:eastAsia="GHEA Grapalat" w:hAnsi="GHEA Grapalat" w:cs="GHEA Grapalat"/>
          <w:sz w:val="22"/>
          <w:szCs w:val="22"/>
        </w:rPr>
        <w:t>)</w:t>
      </w:r>
      <w:r w:rsidRPr="00D033AB">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ապրանքախ</w:t>
      </w:r>
      <w:r>
        <w:rPr>
          <w:rFonts w:ascii="GHEA Grapalat" w:eastAsia="GHEA Grapalat" w:hAnsi="GHEA Grapalat" w:cs="GHEA Grapalat"/>
          <w:sz w:val="22"/>
          <w:szCs w:val="22"/>
        </w:rPr>
        <w:t>ումբը:</w:t>
      </w:r>
    </w:p>
    <w:p w14:paraId="244BDE94" w14:textId="6FD85633" w:rsidR="00475130" w:rsidRDefault="00475130" w:rsidP="00C17EA3">
      <w:pPr>
        <w:spacing w:line="276" w:lineRule="auto"/>
        <w:ind w:firstLine="567"/>
        <w:jc w:val="both"/>
        <w:rPr>
          <w:rFonts w:ascii="GHEA Grapalat" w:eastAsia="GHEA Grapalat" w:hAnsi="GHEA Grapalat" w:cs="GHEA Grapalat"/>
          <w:sz w:val="22"/>
          <w:szCs w:val="22"/>
        </w:rPr>
      </w:pPr>
      <w:r>
        <w:rPr>
          <w:rFonts w:ascii="GHEA Grapalat" w:eastAsia="GHEA Grapalat" w:hAnsi="GHEA Grapalat" w:cs="GHEA Grapalat"/>
          <w:sz w:val="22"/>
          <w:szCs w:val="22"/>
        </w:rPr>
        <w:t>Արտահանման նվազմանը հակազդել և դրական են նպաստել</w:t>
      </w:r>
      <w:r w:rsidRPr="00D033AB">
        <w:rPr>
          <w:rFonts w:ascii="GHEA Grapalat" w:eastAsia="GHEA Grapalat" w:hAnsi="GHEA Grapalat" w:cs="GHEA Grapalat"/>
          <w:sz w:val="22"/>
          <w:szCs w:val="22"/>
        </w:rPr>
        <w:t xml:space="preserve"> </w:t>
      </w:r>
      <w:r>
        <w:rPr>
          <w:rFonts w:ascii="GHEA Grapalat" w:eastAsia="GHEA Grapalat" w:hAnsi="GHEA Grapalat" w:cs="GHEA Grapalat"/>
          <w:sz w:val="22"/>
          <w:szCs w:val="22"/>
        </w:rPr>
        <w:t>հանքահումքային ապրանքախմբի արտահանման</w:t>
      </w:r>
      <w:r w:rsidRPr="00AA4012">
        <w:rPr>
          <w:rFonts w:ascii="GHEA Grapalat" w:eastAsia="GHEA Grapalat" w:hAnsi="GHEA Grapalat" w:cs="GHEA Grapalat"/>
          <w:sz w:val="22"/>
          <w:szCs w:val="22"/>
        </w:rPr>
        <w:t xml:space="preserve"> </w:t>
      </w:r>
      <w:r>
        <w:rPr>
          <w:rFonts w:ascii="GHEA Grapalat" w:eastAsia="GHEA Grapalat" w:hAnsi="GHEA Grapalat" w:cs="GHEA Grapalat"/>
          <w:sz w:val="22"/>
          <w:szCs w:val="22"/>
        </w:rPr>
        <w:t xml:space="preserve">աճը </w:t>
      </w:r>
      <w:r w:rsidRPr="00CD346C">
        <w:rPr>
          <w:rFonts w:ascii="GHEA Grapalat" w:eastAsia="GHEA Grapalat" w:hAnsi="GHEA Grapalat" w:cs="GHEA Grapalat"/>
          <w:sz w:val="22"/>
          <w:szCs w:val="22"/>
        </w:rPr>
        <w:t>(</w:t>
      </w:r>
      <w:r>
        <w:rPr>
          <w:rFonts w:ascii="GHEA Grapalat" w:eastAsia="GHEA Grapalat" w:hAnsi="GHEA Grapalat" w:cs="GHEA Grapalat"/>
          <w:sz w:val="22"/>
          <w:szCs w:val="22"/>
        </w:rPr>
        <w:t xml:space="preserve">11.3 </w:t>
      </w:r>
      <w:r w:rsidRPr="00CD346C">
        <w:rPr>
          <w:rFonts w:ascii="GHEA Grapalat" w:eastAsia="GHEA Grapalat" w:hAnsi="GHEA Grapalat" w:cs="GHEA Grapalat"/>
          <w:sz w:val="22"/>
          <w:szCs w:val="22"/>
        </w:rPr>
        <w:t>տոկոսային կետ</w:t>
      </w:r>
      <w:r>
        <w:rPr>
          <w:rFonts w:ascii="GHEA Grapalat" w:eastAsia="GHEA Grapalat" w:hAnsi="GHEA Grapalat" w:cs="GHEA Grapalat"/>
          <w:sz w:val="22"/>
          <w:szCs w:val="22"/>
        </w:rPr>
        <w:t xml:space="preserve">, հիմնականում՝ </w:t>
      </w:r>
      <w:r w:rsidRPr="00186AB2">
        <w:rPr>
          <w:rFonts w:ascii="GHEA Grapalat" w:eastAsia="GHEA Grapalat" w:hAnsi="GHEA Grapalat" w:cs="GHEA Grapalat"/>
          <w:sz w:val="22"/>
          <w:szCs w:val="22"/>
        </w:rPr>
        <w:t xml:space="preserve">պղնձի, մոլիբդենի և թանկարժեք մետաղների հանքանյութերի </w:t>
      </w:r>
      <w:r w:rsidRPr="00C17EA3">
        <w:rPr>
          <w:rFonts w:ascii="GHEA Grapalat" w:hAnsi="GHEA Grapalat"/>
          <w:sz w:val="22"/>
          <w:szCs w:val="22"/>
        </w:rPr>
        <w:t>ապրանքատեսակները</w:t>
      </w:r>
      <w:r w:rsidRPr="008F06ED">
        <w:rPr>
          <w:rFonts w:ascii="GHEA Grapalat" w:eastAsia="GHEA Grapalat" w:hAnsi="GHEA Grapalat" w:cs="GHEA Grapalat"/>
          <w:sz w:val="22"/>
          <w:szCs w:val="22"/>
        </w:rPr>
        <w:t>)</w:t>
      </w:r>
      <w:r>
        <w:rPr>
          <w:rFonts w:ascii="GHEA Grapalat" w:eastAsia="GHEA Grapalat" w:hAnsi="GHEA Grapalat" w:cs="GHEA Grapalat"/>
          <w:sz w:val="22"/>
          <w:szCs w:val="22"/>
        </w:rPr>
        <w:t xml:space="preserve">, ինչպես նաև </w:t>
      </w:r>
      <w:r w:rsidRPr="00345A1C">
        <w:rPr>
          <w:rFonts w:ascii="GHEA Grapalat" w:eastAsia="GHEA Grapalat" w:hAnsi="GHEA Grapalat" w:cs="GHEA Grapalat"/>
          <w:sz w:val="22"/>
          <w:szCs w:val="22"/>
        </w:rPr>
        <w:t xml:space="preserve">«Պատրաստի սննդի արտադրանք» </w:t>
      </w:r>
      <w:r w:rsidRPr="00EA4913">
        <w:rPr>
          <w:rFonts w:ascii="GHEA Grapalat" w:eastAsia="GHEA Grapalat" w:hAnsi="GHEA Grapalat" w:cs="GHEA Grapalat"/>
          <w:sz w:val="22"/>
          <w:szCs w:val="22"/>
        </w:rPr>
        <w:t>(</w:t>
      </w:r>
      <w:r>
        <w:rPr>
          <w:rFonts w:ascii="GHEA Grapalat" w:eastAsia="GHEA Grapalat" w:hAnsi="GHEA Grapalat" w:cs="GHEA Grapalat"/>
          <w:sz w:val="22"/>
          <w:szCs w:val="22"/>
        </w:rPr>
        <w:t>0.8</w:t>
      </w:r>
      <w:r w:rsidRPr="00345A1C">
        <w:rPr>
          <w:rFonts w:ascii="GHEA Grapalat" w:eastAsia="GHEA Grapalat" w:hAnsi="GHEA Grapalat" w:cs="GHEA Grapalat"/>
          <w:sz w:val="22"/>
          <w:szCs w:val="22"/>
        </w:rPr>
        <w:t xml:space="preserve"> տոկոսային կետ</w:t>
      </w:r>
      <w:r>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ապրանքախ</w:t>
      </w:r>
      <w:r>
        <w:rPr>
          <w:rFonts w:ascii="GHEA Grapalat" w:eastAsia="GHEA Grapalat" w:hAnsi="GHEA Grapalat" w:cs="GHEA Grapalat"/>
          <w:sz w:val="22"/>
          <w:szCs w:val="22"/>
        </w:rPr>
        <w:t>ու</w:t>
      </w:r>
      <w:r w:rsidRPr="00345A1C">
        <w:rPr>
          <w:rFonts w:ascii="GHEA Grapalat" w:eastAsia="GHEA Grapalat" w:hAnsi="GHEA Grapalat" w:cs="GHEA Grapalat"/>
          <w:sz w:val="22"/>
          <w:szCs w:val="22"/>
        </w:rPr>
        <w:t>մբ</w:t>
      </w:r>
      <w:r>
        <w:rPr>
          <w:rFonts w:ascii="GHEA Grapalat" w:eastAsia="GHEA Grapalat" w:hAnsi="GHEA Grapalat" w:cs="GHEA Grapalat"/>
          <w:sz w:val="22"/>
          <w:szCs w:val="22"/>
        </w:rPr>
        <w:t>ը:</w:t>
      </w:r>
    </w:p>
    <w:p w14:paraId="0DA69961" w14:textId="77777777" w:rsidR="00475130" w:rsidRPr="00345A1C" w:rsidRDefault="00475130" w:rsidP="00C17EA3">
      <w:pPr>
        <w:spacing w:line="276" w:lineRule="auto"/>
        <w:ind w:firstLine="567"/>
        <w:jc w:val="both"/>
        <w:rPr>
          <w:rFonts w:ascii="GHEA Grapalat" w:eastAsia="GHEA Grapalat" w:hAnsi="GHEA Grapalat" w:cs="GHEA Grapalat"/>
          <w:sz w:val="22"/>
          <w:szCs w:val="22"/>
        </w:rPr>
      </w:pPr>
    </w:p>
    <w:p w14:paraId="4B56C7E6" w14:textId="77777777" w:rsidR="00475130" w:rsidRPr="00CC1B4B" w:rsidRDefault="00475130" w:rsidP="006055E8">
      <w:pPr>
        <w:pStyle w:val="ListParagraph"/>
        <w:keepNext/>
        <w:keepLines/>
        <w:numPr>
          <w:ilvl w:val="0"/>
          <w:numId w:val="42"/>
        </w:numPr>
        <w:tabs>
          <w:tab w:val="left" w:pos="0"/>
          <w:tab w:val="left" w:pos="284"/>
          <w:tab w:val="left" w:pos="1134"/>
          <w:tab w:val="left" w:pos="1276"/>
          <w:tab w:val="left" w:pos="1418"/>
          <w:tab w:val="left" w:pos="1530"/>
          <w:tab w:val="left" w:pos="1888"/>
        </w:tabs>
        <w:autoSpaceDE w:val="0"/>
        <w:autoSpaceDN w:val="0"/>
        <w:adjustRightInd w:val="0"/>
        <w:spacing w:after="0"/>
        <w:ind w:left="0" w:firstLine="0"/>
        <w:jc w:val="both"/>
        <w:rPr>
          <w:rFonts w:ascii="GHEA Grapalat" w:eastAsia="GHEA Grapalat" w:hAnsi="GHEA Grapalat" w:cs="GHEA Grapalat"/>
          <w:b/>
          <w:sz w:val="18"/>
          <w:szCs w:val="18"/>
          <w:lang w:val="hy-AM"/>
        </w:rPr>
      </w:pPr>
      <w:r w:rsidRPr="00CC1B4B">
        <w:rPr>
          <w:rFonts w:ascii="GHEA Grapalat" w:eastAsia="GHEA Grapalat" w:hAnsi="GHEA Grapalat" w:cs="GHEA Grapalat"/>
          <w:b/>
          <w:sz w:val="18"/>
          <w:szCs w:val="18"/>
          <w:lang w:val="hy-AM"/>
        </w:rPr>
        <w:t>Ապրանքների արտահանման ամսական միտումները 2026թ, %</w:t>
      </w:r>
    </w:p>
    <w:p w14:paraId="5B3F9C18" w14:textId="77777777" w:rsidR="00475130" w:rsidRPr="00345A1C" w:rsidRDefault="00475130" w:rsidP="00475130">
      <w:pPr>
        <w:keepNext/>
        <w:spacing w:line="276" w:lineRule="auto"/>
        <w:rPr>
          <w:rFonts w:ascii="GHEA Grapalat" w:hAnsi="GHEA Grapalat"/>
        </w:rPr>
      </w:pPr>
      <w:r w:rsidRPr="00345A1C">
        <w:rPr>
          <w:rFonts w:ascii="GHEA Grapalat" w:hAnsi="GHEA Grapalat"/>
          <w:sz w:val="22"/>
          <w:szCs w:val="22"/>
          <w:lang w:val="en-US"/>
        </w:rPr>
        <w:drawing>
          <wp:inline distT="0" distB="0" distL="0" distR="0" wp14:anchorId="76E77EF3" wp14:editId="53D3EA9C">
            <wp:extent cx="3164619" cy="2247900"/>
            <wp:effectExtent l="0" t="0" r="17145" b="0"/>
            <wp:docPr id="27" name="Objec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345A1C">
        <w:rPr>
          <w:rFonts w:ascii="GHEA Grapalat" w:eastAsia="GHEA Grapalat" w:hAnsi="GHEA Grapalat" w:cs="GHEA Grapalat"/>
          <w:i/>
          <w:color w:val="000000"/>
          <w:sz w:val="18"/>
          <w:szCs w:val="18"/>
        </w:rPr>
        <w:t xml:space="preserve"> </w:t>
      </w:r>
      <w:r w:rsidRPr="00345A1C">
        <w:rPr>
          <w:rFonts w:ascii="GHEA Grapalat" w:eastAsia="Calibri" w:hAnsi="GHEA Grapalat"/>
          <w:i/>
          <w:sz w:val="22"/>
          <w:szCs w:val="22"/>
          <w:lang w:val="en-US"/>
        </w:rPr>
        <w:drawing>
          <wp:inline distT="0" distB="0" distL="0" distR="0" wp14:anchorId="144C7667" wp14:editId="76A35EDA">
            <wp:extent cx="3093057" cy="2238375"/>
            <wp:effectExtent l="0" t="0" r="12700" b="9525"/>
            <wp:docPr id="28" name="Objec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25420E2" w14:textId="77777777" w:rsidR="00475130" w:rsidRPr="00345A1C" w:rsidRDefault="00475130" w:rsidP="00475130">
      <w:pPr>
        <w:keepNext/>
        <w:spacing w:line="276" w:lineRule="auto"/>
        <w:rPr>
          <w:rFonts w:ascii="GHEA Grapalat" w:eastAsia="GHEA Grapalat" w:hAnsi="GHEA Grapalat" w:cs="GHEA Grapalat"/>
          <w:i/>
          <w:color w:val="000000"/>
          <w:sz w:val="16"/>
          <w:szCs w:val="16"/>
        </w:rPr>
      </w:pPr>
      <w:r w:rsidRPr="00345A1C">
        <w:rPr>
          <w:rFonts w:ascii="GHEA Grapalat" w:eastAsia="GHEA Grapalat" w:hAnsi="GHEA Grapalat" w:cs="GHEA Grapalat"/>
          <w:i/>
          <w:color w:val="000000"/>
          <w:sz w:val="16"/>
          <w:szCs w:val="16"/>
        </w:rPr>
        <w:t>Աղբյուրը՝ ՀՀ ՎԿ և ՀՀ ՖՆ հաշվարկներ</w:t>
      </w:r>
    </w:p>
    <w:p w14:paraId="607E419C" w14:textId="77777777" w:rsidR="00475130" w:rsidRPr="00CC1B4B" w:rsidRDefault="00475130" w:rsidP="00C17EA3">
      <w:pPr>
        <w:spacing w:line="276" w:lineRule="auto"/>
        <w:ind w:firstLine="567"/>
        <w:jc w:val="both"/>
        <w:rPr>
          <w:rFonts w:ascii="GHEA Grapalat" w:eastAsia="GHEA Grapalat" w:hAnsi="GHEA Grapalat" w:cs="GHEA Grapalat"/>
          <w:sz w:val="22"/>
          <w:szCs w:val="22"/>
        </w:rPr>
      </w:pPr>
    </w:p>
    <w:p w14:paraId="66A7F0C2" w14:textId="7DB87830" w:rsidR="00475130" w:rsidRPr="00345A1C" w:rsidRDefault="00475130" w:rsidP="00C17EA3">
      <w:pPr>
        <w:spacing w:line="276" w:lineRule="auto"/>
        <w:ind w:firstLine="567"/>
        <w:jc w:val="both"/>
        <w:rPr>
          <w:rFonts w:ascii="GHEA Grapalat" w:eastAsia="GHEA Grapalat" w:hAnsi="GHEA Grapalat" w:cs="GHEA Grapalat"/>
          <w:noProof w:val="0"/>
          <w:sz w:val="22"/>
          <w:szCs w:val="22"/>
        </w:rPr>
      </w:pPr>
      <w:r w:rsidRPr="00345A1C">
        <w:rPr>
          <w:rFonts w:ascii="GHEA Grapalat" w:eastAsia="GHEA Grapalat" w:hAnsi="GHEA Grapalat" w:cs="GHEA Grapalat"/>
          <w:b/>
          <w:i/>
          <w:sz w:val="22"/>
          <w:szCs w:val="22"/>
        </w:rPr>
        <w:t>Ներմուծում:</w:t>
      </w:r>
      <w:r w:rsidRPr="00345A1C">
        <w:rPr>
          <w:rFonts w:ascii="GHEA Grapalat" w:eastAsia="GHEA Grapalat" w:hAnsi="GHEA Grapalat" w:cs="GHEA Grapalat"/>
          <w:b/>
          <w:sz w:val="22"/>
          <w:szCs w:val="22"/>
        </w:rPr>
        <w:t xml:space="preserve"> </w:t>
      </w:r>
      <w:r w:rsidRPr="00CC1B4B">
        <w:rPr>
          <w:rFonts w:ascii="GHEA Grapalat" w:eastAsia="GHEA Grapalat" w:hAnsi="GHEA Grapalat" w:cs="GHEA Grapalat"/>
          <w:sz w:val="22"/>
          <w:szCs w:val="22"/>
        </w:rPr>
        <w:t>2026թ. հունվար-</w:t>
      </w:r>
      <w:r>
        <w:rPr>
          <w:rFonts w:ascii="GHEA Grapalat" w:eastAsia="GHEA Grapalat" w:hAnsi="GHEA Grapalat" w:cs="GHEA Grapalat"/>
          <w:sz w:val="22"/>
          <w:szCs w:val="22"/>
        </w:rPr>
        <w:t>հունիս</w:t>
      </w:r>
      <w:r w:rsidRPr="00CC1B4B">
        <w:rPr>
          <w:rFonts w:ascii="GHEA Grapalat" w:eastAsia="GHEA Grapalat" w:hAnsi="GHEA Grapalat" w:cs="GHEA Grapalat"/>
          <w:sz w:val="22"/>
          <w:szCs w:val="22"/>
        </w:rPr>
        <w:t xml:space="preserve"> ամիսներին արձանագրվել է ապրանքների ներմուծման ծավալների</w:t>
      </w:r>
      <w:r>
        <w:rPr>
          <w:rFonts w:ascii="GHEA Grapalat" w:eastAsia="GHEA Grapalat" w:hAnsi="GHEA Grapalat" w:cs="GHEA Grapalat"/>
          <w:sz w:val="22"/>
          <w:szCs w:val="22"/>
        </w:rPr>
        <w:t xml:space="preserve"> </w:t>
      </w:r>
      <w:r w:rsidRPr="00CC1B4B">
        <w:rPr>
          <w:rFonts w:ascii="GHEA Grapalat" w:eastAsia="GHEA Grapalat" w:hAnsi="GHEA Grapalat" w:cs="GHEA Grapalat"/>
          <w:sz w:val="22"/>
          <w:szCs w:val="22"/>
        </w:rPr>
        <w:t>աճ՝ հիմնականում պայմանավորված ներքին պահանջարկի ընդլայնմամբ:</w:t>
      </w:r>
      <w:r w:rsidRPr="00345A1C">
        <w:rPr>
          <w:rFonts w:ascii="GHEA Grapalat" w:eastAsia="GHEA Grapalat" w:hAnsi="GHEA Grapalat" w:cs="GHEA Grapalat"/>
          <w:b/>
          <w:noProof w:val="0"/>
          <w:sz w:val="22"/>
          <w:szCs w:val="22"/>
        </w:rPr>
        <w:t xml:space="preserve"> </w:t>
      </w:r>
      <w:r w:rsidRPr="00196A94">
        <w:rPr>
          <w:rFonts w:ascii="GHEA Grapalat" w:eastAsia="GHEA Grapalat" w:hAnsi="GHEA Grapalat" w:cs="GHEA Grapalat"/>
          <w:noProof w:val="0"/>
          <w:sz w:val="22"/>
          <w:szCs w:val="22"/>
        </w:rPr>
        <w:t>202</w:t>
      </w:r>
      <w:r>
        <w:rPr>
          <w:rFonts w:ascii="GHEA Grapalat" w:eastAsia="GHEA Grapalat" w:hAnsi="GHEA Grapalat" w:cs="GHEA Grapalat"/>
          <w:noProof w:val="0"/>
          <w:sz w:val="22"/>
          <w:szCs w:val="22"/>
        </w:rPr>
        <w:t>6</w:t>
      </w:r>
      <w:r w:rsidRPr="00196A94">
        <w:rPr>
          <w:rFonts w:ascii="GHEA Grapalat" w:eastAsia="GHEA Grapalat" w:hAnsi="GHEA Grapalat" w:cs="GHEA Grapalat"/>
          <w:noProof w:val="0"/>
          <w:sz w:val="22"/>
          <w:szCs w:val="22"/>
        </w:rPr>
        <w:t>թ. հունվար</w:t>
      </w:r>
      <w:r>
        <w:rPr>
          <w:rFonts w:ascii="GHEA Grapalat" w:eastAsia="GHEA Grapalat" w:hAnsi="GHEA Grapalat" w:cs="GHEA Grapalat"/>
          <w:noProof w:val="0"/>
          <w:sz w:val="22"/>
          <w:szCs w:val="22"/>
        </w:rPr>
        <w:t>-հունիս</w:t>
      </w:r>
      <w:r w:rsidRPr="00196A94">
        <w:rPr>
          <w:rFonts w:ascii="GHEA Grapalat" w:eastAsia="GHEA Grapalat" w:hAnsi="GHEA Grapalat" w:cs="GHEA Grapalat"/>
          <w:noProof w:val="0"/>
          <w:sz w:val="22"/>
          <w:szCs w:val="22"/>
        </w:rPr>
        <w:t xml:space="preserve"> ամիսներին դոլարային արտահայտությամբ ապրանքների ներմուծ</w:t>
      </w:r>
      <w:r w:rsidR="00DA5D85">
        <w:rPr>
          <w:rFonts w:ascii="GHEA Grapalat" w:eastAsia="GHEA Grapalat" w:hAnsi="GHEA Grapalat" w:cs="GHEA Grapalat"/>
          <w:noProof w:val="0"/>
          <w:sz w:val="22"/>
          <w:szCs w:val="22"/>
        </w:rPr>
        <w:t>ումն</w:t>
      </w:r>
      <w:r w:rsidRPr="00196A94">
        <w:rPr>
          <w:rFonts w:ascii="GHEA Grapalat" w:eastAsia="GHEA Grapalat" w:hAnsi="GHEA Grapalat" w:cs="GHEA Grapalat"/>
          <w:noProof w:val="0"/>
          <w:sz w:val="22"/>
          <w:szCs w:val="22"/>
        </w:rPr>
        <w:t xml:space="preserve"> </w:t>
      </w:r>
      <w:r>
        <w:rPr>
          <w:rFonts w:ascii="GHEA Grapalat" w:eastAsia="GHEA Grapalat" w:hAnsi="GHEA Grapalat" w:cs="GHEA Grapalat"/>
          <w:noProof w:val="0"/>
          <w:sz w:val="22"/>
          <w:szCs w:val="22"/>
        </w:rPr>
        <w:t>աճ</w:t>
      </w:r>
      <w:r w:rsidRPr="00196A94">
        <w:rPr>
          <w:rFonts w:ascii="GHEA Grapalat" w:eastAsia="GHEA Grapalat" w:hAnsi="GHEA Grapalat" w:cs="GHEA Grapalat"/>
          <w:noProof w:val="0"/>
          <w:sz w:val="22"/>
          <w:szCs w:val="22"/>
        </w:rPr>
        <w:t>ել է</w:t>
      </w:r>
      <w:r>
        <w:rPr>
          <w:rFonts w:ascii="GHEA Grapalat" w:eastAsia="GHEA Grapalat" w:hAnsi="GHEA Grapalat" w:cs="GHEA Grapalat"/>
          <w:noProof w:val="0"/>
          <w:sz w:val="22"/>
          <w:szCs w:val="22"/>
        </w:rPr>
        <w:t xml:space="preserve"> 4</w:t>
      </w:r>
      <w:r w:rsidRPr="00196A94">
        <w:rPr>
          <w:rFonts w:ascii="GHEA Grapalat" w:eastAsia="GHEA Grapalat" w:hAnsi="GHEA Grapalat" w:cs="GHEA Grapalat"/>
          <w:noProof w:val="0"/>
          <w:sz w:val="22"/>
          <w:szCs w:val="22"/>
        </w:rPr>
        <w:t>%-ով՝ կազմելով</w:t>
      </w:r>
      <w:r>
        <w:rPr>
          <w:rFonts w:ascii="GHEA Grapalat" w:eastAsia="GHEA Grapalat" w:hAnsi="GHEA Grapalat" w:cs="GHEA Grapalat"/>
          <w:noProof w:val="0"/>
          <w:sz w:val="22"/>
          <w:szCs w:val="22"/>
        </w:rPr>
        <w:t xml:space="preserve"> </w:t>
      </w:r>
      <w:r w:rsidRPr="002A2AA2">
        <w:rPr>
          <w:rFonts w:ascii="GHEA Grapalat" w:eastAsia="GHEA Grapalat" w:hAnsi="GHEA Grapalat" w:cs="GHEA Grapalat"/>
          <w:noProof w:val="0"/>
          <w:sz w:val="22"/>
          <w:szCs w:val="22"/>
        </w:rPr>
        <w:t>6,140 մլն ԱՄՆ դոլար</w:t>
      </w:r>
      <w:r w:rsidRPr="00345A1C">
        <w:rPr>
          <w:rFonts w:ascii="GHEA Grapalat" w:eastAsia="GHEA Grapalat" w:hAnsi="GHEA Grapalat" w:cs="GHEA Grapalat"/>
          <w:noProof w:val="0"/>
          <w:sz w:val="22"/>
          <w:szCs w:val="22"/>
        </w:rPr>
        <w:t xml:space="preserve">: </w:t>
      </w:r>
      <w:r w:rsidRPr="001E181D">
        <w:rPr>
          <w:rFonts w:ascii="GHEA Grapalat" w:eastAsia="GHEA Grapalat" w:hAnsi="GHEA Grapalat" w:cs="GHEA Grapalat"/>
          <w:noProof w:val="0"/>
          <w:sz w:val="22"/>
          <w:szCs w:val="22"/>
        </w:rPr>
        <w:t xml:space="preserve">Ընդ որում՝ գրանցվել է իրական ծավալների շուրջ </w:t>
      </w:r>
      <w:r w:rsidRPr="00675017">
        <w:rPr>
          <w:rFonts w:ascii="GHEA Grapalat" w:eastAsia="GHEA Grapalat" w:hAnsi="GHEA Grapalat" w:cs="GHEA Grapalat"/>
          <w:noProof w:val="0"/>
          <w:sz w:val="22"/>
          <w:szCs w:val="22"/>
        </w:rPr>
        <w:t>10.3% նվազում, իսկ ներմուծվող ապրանքների գներն աճել են 10.9%-ով:</w:t>
      </w:r>
    </w:p>
    <w:p w14:paraId="53CC42AE" w14:textId="77777777" w:rsidR="00475130" w:rsidRPr="00345A1C" w:rsidRDefault="00475130" w:rsidP="00C17EA3">
      <w:pPr>
        <w:spacing w:line="276" w:lineRule="auto"/>
        <w:ind w:firstLine="567"/>
        <w:jc w:val="both"/>
        <w:rPr>
          <w:rFonts w:ascii="GHEA Grapalat" w:hAnsi="GHEA Grapalat"/>
          <w:sz w:val="22"/>
          <w:szCs w:val="22"/>
        </w:rPr>
      </w:pPr>
    </w:p>
    <w:p w14:paraId="5E26DEE2" w14:textId="77777777" w:rsidR="00475130" w:rsidRPr="00843035" w:rsidRDefault="00475130" w:rsidP="006055E8">
      <w:pPr>
        <w:pStyle w:val="ListParagraph"/>
        <w:keepNext/>
        <w:keepLines/>
        <w:numPr>
          <w:ilvl w:val="0"/>
          <w:numId w:val="42"/>
        </w:numPr>
        <w:tabs>
          <w:tab w:val="left" w:pos="0"/>
          <w:tab w:val="left" w:pos="284"/>
          <w:tab w:val="left" w:pos="1134"/>
          <w:tab w:val="left" w:pos="1276"/>
          <w:tab w:val="left" w:pos="1418"/>
          <w:tab w:val="left" w:pos="1530"/>
          <w:tab w:val="left" w:pos="1888"/>
        </w:tabs>
        <w:autoSpaceDE w:val="0"/>
        <w:autoSpaceDN w:val="0"/>
        <w:adjustRightInd w:val="0"/>
        <w:spacing w:after="0"/>
        <w:ind w:left="0" w:firstLine="0"/>
        <w:jc w:val="both"/>
        <w:rPr>
          <w:rFonts w:ascii="GHEA Grapalat" w:eastAsia="GHEA Grapalat" w:hAnsi="GHEA Grapalat" w:cs="GHEA Grapalat"/>
          <w:b/>
          <w:sz w:val="18"/>
          <w:szCs w:val="18"/>
          <w:lang w:val="hy-AM"/>
        </w:rPr>
      </w:pPr>
      <w:r w:rsidRPr="00843035">
        <w:rPr>
          <w:rFonts w:ascii="GHEA Grapalat" w:eastAsia="GHEA Grapalat" w:hAnsi="GHEA Grapalat" w:cs="GHEA Grapalat"/>
          <w:b/>
          <w:sz w:val="18"/>
          <w:szCs w:val="18"/>
          <w:lang w:val="hy-AM"/>
        </w:rPr>
        <w:t>Ապրանքների ներմուծման ամսական միտումները 2026թ</w:t>
      </w:r>
      <w:r>
        <w:rPr>
          <w:rFonts w:ascii="Cambria Math" w:eastAsia="GHEA Grapalat" w:hAnsi="Cambria Math" w:cs="GHEA Grapalat"/>
          <w:b/>
          <w:sz w:val="18"/>
          <w:szCs w:val="18"/>
          <w:lang w:val="hy-AM"/>
        </w:rPr>
        <w:t>․</w:t>
      </w:r>
      <w:r w:rsidRPr="00843035">
        <w:rPr>
          <w:rFonts w:ascii="GHEA Grapalat" w:eastAsia="GHEA Grapalat" w:hAnsi="GHEA Grapalat" w:cs="GHEA Grapalat"/>
          <w:b/>
          <w:sz w:val="18"/>
          <w:szCs w:val="18"/>
          <w:lang w:val="hy-AM"/>
        </w:rPr>
        <w:t>,%</w:t>
      </w:r>
    </w:p>
    <w:p w14:paraId="14415D7E" w14:textId="77777777" w:rsidR="00475130" w:rsidRPr="00345A1C" w:rsidRDefault="00475130" w:rsidP="00475130">
      <w:pPr>
        <w:spacing w:line="276" w:lineRule="auto"/>
        <w:jc w:val="both"/>
        <w:rPr>
          <w:rFonts w:ascii="GHEA Grapalat" w:eastAsia="GHEA Grapalat" w:hAnsi="GHEA Grapalat" w:cs="GHEA Grapalat"/>
          <w:sz w:val="22"/>
          <w:szCs w:val="22"/>
        </w:rPr>
      </w:pPr>
      <w:r w:rsidRPr="00345A1C">
        <w:rPr>
          <w:rFonts w:ascii="GHEA Grapalat" w:hAnsi="GHEA Grapalat"/>
          <w:sz w:val="22"/>
          <w:szCs w:val="22"/>
          <w:lang w:val="en-US"/>
        </w:rPr>
        <w:drawing>
          <wp:inline distT="0" distB="0" distL="0" distR="0" wp14:anchorId="0D9A4E60" wp14:editId="73BD8167">
            <wp:extent cx="3181350" cy="2457450"/>
            <wp:effectExtent l="0" t="0" r="0" b="0"/>
            <wp:docPr id="29"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345A1C">
        <w:rPr>
          <w:rFonts w:ascii="GHEA Grapalat" w:eastAsia="GHEA Grapalat" w:hAnsi="GHEA Grapalat" w:cs="GHEA Grapalat"/>
          <w:sz w:val="22"/>
          <w:szCs w:val="22"/>
        </w:rPr>
        <w:t xml:space="preserve"> </w:t>
      </w:r>
      <w:r w:rsidRPr="00345A1C">
        <w:rPr>
          <w:rFonts w:ascii="GHEA Grapalat" w:eastAsia="Calibri" w:hAnsi="GHEA Grapalat"/>
          <w:i/>
          <w:sz w:val="22"/>
          <w:szCs w:val="22"/>
          <w:lang w:val="en-US"/>
        </w:rPr>
        <w:drawing>
          <wp:inline distT="0" distB="0" distL="0" distR="0" wp14:anchorId="481A4607" wp14:editId="32FD4CE4">
            <wp:extent cx="3181350" cy="2457450"/>
            <wp:effectExtent l="0" t="0" r="0" b="0"/>
            <wp:docPr id="3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2AAC7900" w14:textId="77777777" w:rsidR="00475130" w:rsidRPr="00345A1C" w:rsidRDefault="00475130" w:rsidP="00475130">
      <w:pPr>
        <w:keepNext/>
        <w:rPr>
          <w:rFonts w:ascii="GHEA Grapalat" w:eastAsia="GHEA Grapalat" w:hAnsi="GHEA Grapalat" w:cs="GHEA Grapalat"/>
          <w:b/>
          <w:i/>
          <w:sz w:val="16"/>
          <w:szCs w:val="16"/>
        </w:rPr>
      </w:pPr>
      <w:r w:rsidRPr="00345A1C">
        <w:rPr>
          <w:rFonts w:ascii="GHEA Grapalat" w:eastAsia="GHEA Grapalat" w:hAnsi="GHEA Grapalat" w:cs="GHEA Grapalat"/>
          <w:i/>
          <w:color w:val="000000"/>
          <w:sz w:val="16"/>
          <w:szCs w:val="16"/>
        </w:rPr>
        <w:t>Աղբյուրը՝ ՀՀ ՎԿ և ՀՀ ՖՆ հաշվարկներ</w:t>
      </w:r>
    </w:p>
    <w:p w14:paraId="35AAC0C1" w14:textId="77777777" w:rsidR="00475130" w:rsidRDefault="00475130" w:rsidP="00C17EA3">
      <w:pPr>
        <w:spacing w:line="276" w:lineRule="auto"/>
        <w:ind w:firstLine="567"/>
        <w:jc w:val="both"/>
        <w:rPr>
          <w:rFonts w:ascii="GHEA Grapalat" w:hAnsi="GHEA Grapalat"/>
          <w:sz w:val="22"/>
          <w:szCs w:val="22"/>
        </w:rPr>
      </w:pPr>
    </w:p>
    <w:p w14:paraId="72B17816" w14:textId="38CDD5CF" w:rsidR="00475130" w:rsidRPr="00345A1C" w:rsidRDefault="00475130" w:rsidP="00C17EA3">
      <w:pPr>
        <w:spacing w:line="276" w:lineRule="auto"/>
        <w:ind w:firstLine="567"/>
        <w:jc w:val="both"/>
        <w:rPr>
          <w:rFonts w:ascii="GHEA Grapalat" w:hAnsi="GHEA Grapalat"/>
          <w:sz w:val="22"/>
          <w:szCs w:val="22"/>
        </w:rPr>
      </w:pPr>
      <w:r>
        <w:rPr>
          <w:rFonts w:ascii="GHEA Grapalat" w:hAnsi="GHEA Grapalat"/>
          <w:sz w:val="22"/>
          <w:szCs w:val="22"/>
        </w:rPr>
        <w:t>2026</w:t>
      </w:r>
      <w:r w:rsidRPr="00345A1C">
        <w:rPr>
          <w:rFonts w:ascii="GHEA Grapalat" w:hAnsi="GHEA Grapalat"/>
          <w:sz w:val="22"/>
          <w:szCs w:val="22"/>
        </w:rPr>
        <w:t>թ</w:t>
      </w:r>
      <w:r>
        <w:rPr>
          <w:rFonts w:ascii="GHEA Grapalat" w:hAnsi="GHEA Grapalat"/>
          <w:sz w:val="22"/>
          <w:szCs w:val="22"/>
        </w:rPr>
        <w:t>.</w:t>
      </w:r>
      <w:r w:rsidRPr="00345A1C">
        <w:rPr>
          <w:rFonts w:ascii="GHEA Grapalat" w:hAnsi="GHEA Grapalat"/>
          <w:sz w:val="22"/>
          <w:szCs w:val="22"/>
        </w:rPr>
        <w:t xml:space="preserve"> </w:t>
      </w:r>
      <w:r w:rsidRPr="00C17EA3">
        <w:rPr>
          <w:rFonts w:ascii="GHEA Grapalat" w:hAnsi="GHEA Grapalat"/>
          <w:sz w:val="22"/>
          <w:szCs w:val="22"/>
        </w:rPr>
        <w:t>հունվար</w:t>
      </w:r>
      <w:r>
        <w:rPr>
          <w:rFonts w:ascii="GHEA Grapalat" w:eastAsia="GHEA Grapalat" w:hAnsi="GHEA Grapalat" w:cs="GHEA Grapalat"/>
          <w:noProof w:val="0"/>
          <w:sz w:val="22"/>
          <w:szCs w:val="22"/>
        </w:rPr>
        <w:t xml:space="preserve">-հունիս ամիսներին </w:t>
      </w:r>
      <w:r w:rsidRPr="00345A1C">
        <w:rPr>
          <w:rFonts w:ascii="GHEA Grapalat" w:hAnsi="GHEA Grapalat"/>
          <w:sz w:val="22"/>
          <w:szCs w:val="22"/>
        </w:rPr>
        <w:t xml:space="preserve">ներմուծման դոլարային արտահայտությամբ ծավալների </w:t>
      </w:r>
      <w:r>
        <w:rPr>
          <w:rFonts w:ascii="GHEA Grapalat" w:hAnsi="GHEA Grapalat"/>
          <w:sz w:val="22"/>
          <w:szCs w:val="22"/>
        </w:rPr>
        <w:t>աճին</w:t>
      </w:r>
      <w:r w:rsidRPr="00345A1C">
        <w:rPr>
          <w:rFonts w:ascii="GHEA Grapalat" w:hAnsi="GHEA Grapalat"/>
          <w:sz w:val="22"/>
          <w:szCs w:val="22"/>
        </w:rPr>
        <w:t xml:space="preserve"> ամենամեծ նպաստումն </w:t>
      </w:r>
      <w:r>
        <w:rPr>
          <w:rFonts w:ascii="GHEA Grapalat" w:hAnsi="GHEA Grapalat"/>
          <w:sz w:val="22"/>
          <w:szCs w:val="22"/>
        </w:rPr>
        <w:t>է</w:t>
      </w:r>
      <w:r w:rsidRPr="00345A1C">
        <w:rPr>
          <w:rFonts w:ascii="GHEA Grapalat" w:hAnsi="GHEA Grapalat"/>
          <w:sz w:val="22"/>
          <w:szCs w:val="22"/>
        </w:rPr>
        <w:t xml:space="preserve"> ունեցել </w:t>
      </w:r>
      <w:r w:rsidRPr="00345A1C">
        <w:rPr>
          <w:rFonts w:ascii="GHEA Grapalat" w:eastAsia="GHEA Grapalat" w:hAnsi="GHEA Grapalat" w:cs="GHEA Grapalat"/>
          <w:sz w:val="22"/>
          <w:szCs w:val="22"/>
        </w:rPr>
        <w:t>«</w:t>
      </w:r>
      <w:r w:rsidRPr="00AA4012">
        <w:rPr>
          <w:rFonts w:ascii="GHEA Grapalat" w:eastAsia="GHEA Grapalat" w:hAnsi="GHEA Grapalat" w:cs="GHEA Grapalat"/>
          <w:sz w:val="22"/>
          <w:szCs w:val="22"/>
        </w:rPr>
        <w:t>Մեքենաներ և սարքավորումներ</w:t>
      </w:r>
      <w:r w:rsidRPr="00345A1C">
        <w:rPr>
          <w:rFonts w:ascii="GHEA Grapalat" w:eastAsia="GHEA Grapalat" w:hAnsi="GHEA Grapalat" w:cs="GHEA Grapalat"/>
          <w:sz w:val="22"/>
          <w:szCs w:val="22"/>
        </w:rPr>
        <w:t>» (</w:t>
      </w:r>
      <w:r>
        <w:rPr>
          <w:rFonts w:ascii="GHEA Grapalat" w:eastAsia="GHEA Grapalat" w:hAnsi="GHEA Grapalat" w:cs="GHEA Grapalat"/>
          <w:sz w:val="22"/>
          <w:szCs w:val="22"/>
        </w:rPr>
        <w:t xml:space="preserve">5 </w:t>
      </w:r>
      <w:r w:rsidRPr="00345A1C">
        <w:rPr>
          <w:rFonts w:ascii="GHEA Grapalat" w:eastAsia="GHEA Grapalat" w:hAnsi="GHEA Grapalat" w:cs="GHEA Grapalat"/>
          <w:sz w:val="22"/>
          <w:szCs w:val="22"/>
        </w:rPr>
        <w:t>տոկոսային կետով)</w:t>
      </w:r>
      <w:r>
        <w:rPr>
          <w:rFonts w:ascii="GHEA Grapalat" w:eastAsia="GHEA Grapalat" w:hAnsi="GHEA Grapalat" w:cs="GHEA Grapalat"/>
          <w:sz w:val="22"/>
          <w:szCs w:val="22"/>
        </w:rPr>
        <w:t>,</w:t>
      </w:r>
      <w:r w:rsidRPr="00227A98">
        <w:rPr>
          <w:rFonts w:ascii="GHEA Grapalat" w:eastAsia="GHEA Grapalat" w:hAnsi="GHEA Grapalat" w:cs="GHEA Grapalat"/>
          <w:sz w:val="22"/>
          <w:szCs w:val="22"/>
        </w:rPr>
        <w:t xml:space="preserve"> </w:t>
      </w:r>
      <w:r>
        <w:rPr>
          <w:rFonts w:ascii="GHEA Grapalat" w:eastAsia="GHEA Grapalat" w:hAnsi="GHEA Grapalat" w:cs="GHEA Grapalat"/>
          <w:sz w:val="22"/>
          <w:szCs w:val="22"/>
        </w:rPr>
        <w:lastRenderedPageBreak/>
        <w:t>«Վ</w:t>
      </w:r>
      <w:r w:rsidRPr="00173E73">
        <w:rPr>
          <w:rFonts w:ascii="GHEA Grapalat" w:eastAsia="GHEA Grapalat" w:hAnsi="GHEA Grapalat" w:cs="GHEA Grapalat"/>
          <w:sz w:val="22"/>
          <w:szCs w:val="22"/>
        </w:rPr>
        <w:t>երգետնյա, օդային և ջրային տրանսպորտի միջոցներ</w:t>
      </w:r>
      <w:r>
        <w:rPr>
          <w:rFonts w:ascii="GHEA Grapalat" w:eastAsia="GHEA Grapalat" w:hAnsi="GHEA Grapalat" w:cs="GHEA Grapalat"/>
          <w:sz w:val="22"/>
          <w:szCs w:val="22"/>
        </w:rPr>
        <w:t>»</w:t>
      </w:r>
      <w:r w:rsidRPr="00D27832">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w:t>
      </w:r>
      <w:r>
        <w:rPr>
          <w:rFonts w:ascii="GHEA Grapalat" w:eastAsia="GHEA Grapalat" w:hAnsi="GHEA Grapalat" w:cs="GHEA Grapalat"/>
          <w:sz w:val="22"/>
          <w:szCs w:val="22"/>
        </w:rPr>
        <w:t xml:space="preserve">3.1 </w:t>
      </w:r>
      <w:r w:rsidRPr="00345A1C">
        <w:rPr>
          <w:rFonts w:ascii="GHEA Grapalat" w:eastAsia="GHEA Grapalat" w:hAnsi="GHEA Grapalat" w:cs="GHEA Grapalat"/>
          <w:sz w:val="22"/>
          <w:szCs w:val="22"/>
        </w:rPr>
        <w:t>տոկոսային կետով)</w:t>
      </w:r>
      <w:r w:rsidR="00F15698">
        <w:rPr>
          <w:rFonts w:ascii="GHEA Grapalat" w:eastAsia="GHEA Grapalat" w:hAnsi="GHEA Grapalat" w:cs="GHEA Grapalat"/>
          <w:sz w:val="22"/>
          <w:szCs w:val="22"/>
        </w:rPr>
        <w:t xml:space="preserve"> </w:t>
      </w:r>
      <w:r w:rsidRPr="003C6761">
        <w:rPr>
          <w:rFonts w:ascii="GHEA Grapalat" w:hAnsi="GHEA Grapalat"/>
          <w:sz w:val="22"/>
          <w:szCs w:val="22"/>
        </w:rPr>
        <w:t>«Պատրաստի սննդի արտադրանք» (</w:t>
      </w:r>
      <w:r>
        <w:rPr>
          <w:rFonts w:ascii="GHEA Grapalat" w:hAnsi="GHEA Grapalat"/>
          <w:sz w:val="22"/>
          <w:szCs w:val="22"/>
        </w:rPr>
        <w:t>2.4</w:t>
      </w:r>
      <w:r w:rsidRPr="003C6761">
        <w:rPr>
          <w:rFonts w:ascii="GHEA Grapalat" w:hAnsi="GHEA Grapalat"/>
          <w:sz w:val="22"/>
          <w:szCs w:val="22"/>
        </w:rPr>
        <w:t xml:space="preserve"> տոկոսային կետով)</w:t>
      </w:r>
      <w:r>
        <w:rPr>
          <w:rFonts w:ascii="GHEA Grapalat" w:hAnsi="GHEA Grapalat"/>
          <w:sz w:val="22"/>
          <w:szCs w:val="22"/>
        </w:rPr>
        <w:t xml:space="preserve">, </w:t>
      </w:r>
      <w:r w:rsidRPr="00345A1C">
        <w:rPr>
          <w:rFonts w:ascii="GHEA Grapalat" w:eastAsia="GHEA Grapalat" w:hAnsi="GHEA Grapalat" w:cs="GHEA Grapalat"/>
          <w:sz w:val="22"/>
          <w:szCs w:val="22"/>
        </w:rPr>
        <w:t>«</w:t>
      </w:r>
      <w:r w:rsidRPr="00896152">
        <w:rPr>
          <w:rFonts w:ascii="GHEA Grapalat" w:eastAsia="GHEA Grapalat" w:hAnsi="GHEA Grapalat" w:cs="GHEA Grapalat"/>
          <w:sz w:val="22"/>
          <w:szCs w:val="22"/>
        </w:rPr>
        <w:t>Քիմիական արտադրության ապրանքներ</w:t>
      </w:r>
      <w:r w:rsidRPr="00345A1C">
        <w:rPr>
          <w:rFonts w:ascii="GHEA Grapalat" w:eastAsia="GHEA Grapalat" w:hAnsi="GHEA Grapalat" w:cs="GHEA Grapalat"/>
          <w:sz w:val="22"/>
          <w:szCs w:val="22"/>
        </w:rPr>
        <w:t>» (</w:t>
      </w:r>
      <w:r>
        <w:rPr>
          <w:rFonts w:ascii="GHEA Grapalat" w:eastAsia="GHEA Grapalat" w:hAnsi="GHEA Grapalat" w:cs="GHEA Grapalat"/>
          <w:sz w:val="22"/>
          <w:szCs w:val="22"/>
        </w:rPr>
        <w:t xml:space="preserve">2 </w:t>
      </w:r>
      <w:r w:rsidRPr="00345A1C">
        <w:rPr>
          <w:rFonts w:ascii="GHEA Grapalat" w:eastAsia="GHEA Grapalat" w:hAnsi="GHEA Grapalat" w:cs="GHEA Grapalat"/>
          <w:sz w:val="22"/>
          <w:szCs w:val="22"/>
        </w:rPr>
        <w:t>տոկոսային կետով)</w:t>
      </w:r>
      <w:r>
        <w:rPr>
          <w:rFonts w:ascii="GHEA Grapalat" w:eastAsia="GHEA Grapalat" w:hAnsi="GHEA Grapalat" w:cs="GHEA Grapalat"/>
          <w:sz w:val="22"/>
          <w:szCs w:val="22"/>
        </w:rPr>
        <w:t xml:space="preserve"> և այլ </w:t>
      </w:r>
      <w:r w:rsidRPr="00345A1C">
        <w:rPr>
          <w:rFonts w:ascii="GHEA Grapalat" w:hAnsi="GHEA Grapalat"/>
          <w:sz w:val="22"/>
          <w:szCs w:val="22"/>
        </w:rPr>
        <w:t>ապրանքախ</w:t>
      </w:r>
      <w:r>
        <w:rPr>
          <w:rFonts w:ascii="GHEA Grapalat" w:hAnsi="GHEA Grapalat"/>
          <w:sz w:val="22"/>
          <w:szCs w:val="22"/>
        </w:rPr>
        <w:t>մբերը</w:t>
      </w:r>
      <w:bookmarkStart w:id="7" w:name="_Ref229403718"/>
      <w:r w:rsidRPr="00345A1C">
        <w:rPr>
          <w:rFonts w:ascii="GHEA Grapalat" w:hAnsi="GHEA Grapalat"/>
          <w:sz w:val="22"/>
          <w:szCs w:val="22"/>
          <w:vertAlign w:val="superscript"/>
        </w:rPr>
        <w:footnoteReference w:id="15"/>
      </w:r>
      <w:bookmarkEnd w:id="7"/>
      <w:r w:rsidRPr="00345A1C">
        <w:rPr>
          <w:rFonts w:ascii="GHEA Grapalat" w:hAnsi="GHEA Grapalat"/>
          <w:sz w:val="22"/>
          <w:szCs w:val="22"/>
        </w:rPr>
        <w:t>։</w:t>
      </w:r>
    </w:p>
    <w:p w14:paraId="1D58EB3D" w14:textId="764328DA" w:rsidR="00475130" w:rsidRPr="00345A1C" w:rsidRDefault="00475130" w:rsidP="00C17EA3">
      <w:pPr>
        <w:spacing w:line="276" w:lineRule="auto"/>
        <w:ind w:firstLine="567"/>
        <w:jc w:val="both"/>
        <w:rPr>
          <w:rFonts w:ascii="GHEA Grapalat" w:hAnsi="GHEA Grapalat"/>
          <w:sz w:val="22"/>
          <w:szCs w:val="22"/>
        </w:rPr>
      </w:pPr>
      <w:r>
        <w:rPr>
          <w:rFonts w:ascii="GHEA Grapalat" w:hAnsi="GHEA Grapalat"/>
          <w:sz w:val="22"/>
          <w:szCs w:val="22"/>
        </w:rPr>
        <w:t>Ներմուծման աճին հիմնականում հակազդել և բացասական</w:t>
      </w:r>
      <w:r w:rsidRPr="00345A1C">
        <w:rPr>
          <w:rFonts w:ascii="GHEA Grapalat" w:hAnsi="GHEA Grapalat"/>
          <w:sz w:val="22"/>
          <w:szCs w:val="22"/>
        </w:rPr>
        <w:t xml:space="preserve"> նպաստում է ունեցել «Թանկարժեք և կիսաթանկարժեք քարեր, թանկարժեք մետաղներ և դրանցից իրեր» (</w:t>
      </w:r>
      <w:r>
        <w:rPr>
          <w:rFonts w:ascii="GHEA Grapalat" w:hAnsi="GHEA Grapalat"/>
          <w:sz w:val="22"/>
          <w:szCs w:val="22"/>
        </w:rPr>
        <w:t>12.3</w:t>
      </w:r>
      <w:r w:rsidRPr="00345A1C">
        <w:rPr>
          <w:rFonts w:ascii="GHEA Grapalat" w:hAnsi="GHEA Grapalat"/>
          <w:sz w:val="22"/>
          <w:szCs w:val="22"/>
        </w:rPr>
        <w:t xml:space="preserve"> տոկոսային կետ՝ </w:t>
      </w:r>
      <w:r>
        <w:rPr>
          <w:rFonts w:ascii="GHEA Grapalat" w:hAnsi="GHEA Grapalat"/>
          <w:sz w:val="22"/>
          <w:szCs w:val="22"/>
        </w:rPr>
        <w:t>վերաարտահանմամբ պայմանավորված)</w:t>
      </w:r>
      <w:r w:rsidRPr="00345A1C">
        <w:rPr>
          <w:rFonts w:ascii="GHEA Grapalat" w:hAnsi="GHEA Grapalat"/>
          <w:sz w:val="22"/>
          <w:szCs w:val="22"/>
        </w:rPr>
        <w:t xml:space="preserve"> </w:t>
      </w:r>
      <w:r>
        <w:rPr>
          <w:rFonts w:ascii="GHEA Grapalat" w:hAnsi="GHEA Grapalat"/>
          <w:sz w:val="22"/>
          <w:szCs w:val="22"/>
        </w:rPr>
        <w:t>ապրանքախումբը</w:t>
      </w:r>
      <w:r w:rsidR="002F6814">
        <w:rPr>
          <w:rFonts w:ascii="GHEA Grapalat" w:hAnsi="GHEA Grapalat"/>
          <w:sz w:val="22"/>
          <w:szCs w:val="22"/>
        </w:rPr>
        <w:t>։</w:t>
      </w:r>
    </w:p>
    <w:p w14:paraId="774557C0" w14:textId="59A31043" w:rsidR="00475130" w:rsidRPr="00345A1C" w:rsidRDefault="00475130" w:rsidP="00C17EA3">
      <w:pPr>
        <w:spacing w:line="276" w:lineRule="auto"/>
        <w:ind w:firstLine="567"/>
        <w:jc w:val="both"/>
        <w:rPr>
          <w:rFonts w:ascii="GHEA Grapalat" w:hAnsi="GHEA Grapalat"/>
          <w:sz w:val="22"/>
          <w:szCs w:val="22"/>
        </w:rPr>
      </w:pPr>
      <w:r w:rsidRPr="001E181D">
        <w:rPr>
          <w:rFonts w:ascii="GHEA Grapalat" w:hAnsi="GHEA Grapalat"/>
          <w:sz w:val="22"/>
          <w:szCs w:val="22"/>
        </w:rPr>
        <w:t>Ըստ ապրանքների լայն տնտեսական դասակարգման՝ ներմուծման աճին նպաստել են «Կապիտալ ապրանքները» (</w:t>
      </w:r>
      <w:r w:rsidRPr="00294040">
        <w:rPr>
          <w:rFonts w:ascii="GHEA Grapalat" w:hAnsi="GHEA Grapalat"/>
          <w:sz w:val="22"/>
          <w:szCs w:val="22"/>
        </w:rPr>
        <w:t>6.7</w:t>
      </w:r>
      <w:r w:rsidRPr="001E181D">
        <w:rPr>
          <w:rFonts w:ascii="GHEA Grapalat" w:hAnsi="GHEA Grapalat"/>
          <w:sz w:val="22"/>
          <w:szCs w:val="22"/>
        </w:rPr>
        <w:t xml:space="preserve"> տոկոսային կետ) և «Վերջնական սպառման ապրանքները» (</w:t>
      </w:r>
      <w:r w:rsidRPr="00294040">
        <w:rPr>
          <w:rFonts w:ascii="GHEA Grapalat" w:hAnsi="GHEA Grapalat"/>
          <w:sz w:val="22"/>
          <w:szCs w:val="22"/>
        </w:rPr>
        <w:t>1.8</w:t>
      </w:r>
      <w:r w:rsidRPr="001E181D">
        <w:rPr>
          <w:rFonts w:ascii="GHEA Grapalat" w:hAnsi="GHEA Grapalat"/>
          <w:sz w:val="22"/>
          <w:szCs w:val="22"/>
        </w:rPr>
        <w:t xml:space="preserve"> տոկոսային կետ), «Մարդատար ավտոմեքենաները»</w:t>
      </w:r>
      <w:r w:rsidRPr="00294040">
        <w:rPr>
          <w:rFonts w:ascii="GHEA Grapalat" w:hAnsi="GHEA Grapalat"/>
          <w:sz w:val="22"/>
          <w:szCs w:val="22"/>
        </w:rPr>
        <w:t xml:space="preserve"> </w:t>
      </w:r>
      <w:r w:rsidRPr="001E181D">
        <w:rPr>
          <w:rFonts w:ascii="GHEA Grapalat" w:hAnsi="GHEA Grapalat"/>
          <w:sz w:val="22"/>
          <w:szCs w:val="22"/>
        </w:rPr>
        <w:t>(</w:t>
      </w:r>
      <w:r w:rsidRPr="00294040">
        <w:rPr>
          <w:rFonts w:ascii="GHEA Grapalat" w:hAnsi="GHEA Grapalat"/>
          <w:sz w:val="22"/>
          <w:szCs w:val="22"/>
        </w:rPr>
        <w:t>1.</w:t>
      </w:r>
      <w:r>
        <w:rPr>
          <w:rFonts w:ascii="GHEA Grapalat" w:hAnsi="GHEA Grapalat"/>
          <w:sz w:val="22"/>
          <w:szCs w:val="22"/>
        </w:rPr>
        <w:t>9</w:t>
      </w:r>
      <w:r w:rsidRPr="001E181D">
        <w:rPr>
          <w:rFonts w:ascii="GHEA Grapalat" w:hAnsi="GHEA Grapalat"/>
          <w:sz w:val="22"/>
          <w:szCs w:val="22"/>
        </w:rPr>
        <w:t xml:space="preserve"> տոկոսային կետ)</w:t>
      </w:r>
      <w:r>
        <w:rPr>
          <w:rFonts w:ascii="GHEA Grapalat" w:hAnsi="GHEA Grapalat"/>
          <w:sz w:val="22"/>
          <w:szCs w:val="22"/>
        </w:rPr>
        <w:t>,</w:t>
      </w:r>
      <w:r w:rsidRPr="001E181D">
        <w:rPr>
          <w:rFonts w:ascii="GHEA Grapalat" w:hAnsi="GHEA Grapalat"/>
          <w:sz w:val="22"/>
          <w:szCs w:val="22"/>
        </w:rPr>
        <w:t xml:space="preserve"> իսկ «Միջանկյալ սպառման ապրանքները» հակազդել </w:t>
      </w:r>
      <w:r w:rsidR="006E6B1B">
        <w:rPr>
          <w:rFonts w:ascii="GHEA Grapalat" w:hAnsi="GHEA Grapalat"/>
          <w:sz w:val="22"/>
          <w:szCs w:val="22"/>
          <w:lang w:val="en-US"/>
        </w:rPr>
        <w:t>են</w:t>
      </w:r>
      <w:r w:rsidRPr="001E181D">
        <w:rPr>
          <w:rFonts w:ascii="GHEA Grapalat" w:hAnsi="GHEA Grapalat"/>
          <w:sz w:val="22"/>
          <w:szCs w:val="22"/>
        </w:rPr>
        <w:t xml:space="preserve"> </w:t>
      </w:r>
      <w:r>
        <w:rPr>
          <w:rFonts w:ascii="GHEA Grapalat" w:hAnsi="GHEA Grapalat"/>
          <w:sz w:val="22"/>
          <w:szCs w:val="22"/>
        </w:rPr>
        <w:t>աճին</w:t>
      </w:r>
      <w:r w:rsidRPr="001E181D">
        <w:rPr>
          <w:rFonts w:ascii="GHEA Grapalat" w:hAnsi="GHEA Grapalat"/>
          <w:sz w:val="22"/>
          <w:szCs w:val="22"/>
        </w:rPr>
        <w:t xml:space="preserve"> </w:t>
      </w:r>
      <w:r>
        <w:rPr>
          <w:rFonts w:ascii="GHEA Grapalat" w:hAnsi="GHEA Grapalat"/>
          <w:sz w:val="22"/>
          <w:szCs w:val="22"/>
        </w:rPr>
        <w:t>6.5</w:t>
      </w:r>
      <w:r w:rsidRPr="001E181D">
        <w:rPr>
          <w:rFonts w:ascii="GHEA Grapalat" w:hAnsi="GHEA Grapalat"/>
          <w:sz w:val="22"/>
          <w:szCs w:val="22"/>
        </w:rPr>
        <w:t xml:space="preserve"> տոկոսային կետով</w:t>
      </w:r>
      <w:r w:rsidRPr="007C3014">
        <w:rPr>
          <w:rFonts w:ascii="GHEA Grapalat" w:hAnsi="GHEA Grapalat"/>
          <w:sz w:val="22"/>
          <w:szCs w:val="22"/>
          <w:vertAlign w:val="superscript"/>
        </w:rPr>
        <w:fldChar w:fldCharType="begin"/>
      </w:r>
      <w:r w:rsidRPr="007C3014">
        <w:rPr>
          <w:rFonts w:ascii="GHEA Grapalat" w:hAnsi="GHEA Grapalat"/>
          <w:sz w:val="22"/>
          <w:szCs w:val="22"/>
          <w:vertAlign w:val="superscript"/>
        </w:rPr>
        <w:instrText xml:space="preserve"> NOTEREF _Ref229403718 \h </w:instrText>
      </w:r>
      <w:r>
        <w:rPr>
          <w:rFonts w:ascii="GHEA Grapalat" w:hAnsi="GHEA Grapalat"/>
          <w:sz w:val="22"/>
          <w:szCs w:val="22"/>
          <w:vertAlign w:val="superscript"/>
        </w:rPr>
        <w:instrText xml:space="preserve"> \* MERGEFORMAT </w:instrText>
      </w:r>
      <w:r w:rsidRPr="007C3014">
        <w:rPr>
          <w:rFonts w:ascii="GHEA Grapalat" w:hAnsi="GHEA Grapalat"/>
          <w:sz w:val="22"/>
          <w:szCs w:val="22"/>
          <w:vertAlign w:val="superscript"/>
        </w:rPr>
      </w:r>
      <w:r w:rsidRPr="007C3014">
        <w:rPr>
          <w:rFonts w:ascii="GHEA Grapalat" w:hAnsi="GHEA Grapalat"/>
          <w:sz w:val="22"/>
          <w:szCs w:val="22"/>
          <w:vertAlign w:val="superscript"/>
        </w:rPr>
        <w:fldChar w:fldCharType="separate"/>
      </w:r>
      <w:r w:rsidRPr="007C3014">
        <w:rPr>
          <w:rFonts w:ascii="GHEA Grapalat" w:hAnsi="GHEA Grapalat"/>
          <w:sz w:val="22"/>
          <w:szCs w:val="22"/>
          <w:vertAlign w:val="superscript"/>
        </w:rPr>
        <w:t>15</w:t>
      </w:r>
      <w:r w:rsidRPr="007C3014">
        <w:rPr>
          <w:rFonts w:ascii="GHEA Grapalat" w:hAnsi="GHEA Grapalat"/>
          <w:sz w:val="22"/>
          <w:szCs w:val="22"/>
          <w:vertAlign w:val="superscript"/>
        </w:rPr>
        <w:fldChar w:fldCharType="end"/>
      </w:r>
      <w:r w:rsidRPr="001E181D">
        <w:rPr>
          <w:rFonts w:ascii="GHEA Grapalat" w:hAnsi="GHEA Grapalat"/>
          <w:sz w:val="22"/>
          <w:szCs w:val="22"/>
        </w:rPr>
        <w:t>:</w:t>
      </w:r>
    </w:p>
    <w:p w14:paraId="3A4463BA" w14:textId="33A4A7B8" w:rsidR="00475130" w:rsidRPr="00345A1C" w:rsidRDefault="00475130" w:rsidP="00C17EA3">
      <w:pPr>
        <w:spacing w:line="276" w:lineRule="auto"/>
        <w:ind w:firstLine="567"/>
        <w:jc w:val="both"/>
        <w:rPr>
          <w:rFonts w:ascii="GHEA Grapalat" w:eastAsia="GHEA Grapalat" w:hAnsi="GHEA Grapalat" w:cs="GHEA Grapalat"/>
          <w:bCs/>
          <w:color w:val="000000" w:themeColor="text1"/>
          <w:sz w:val="22"/>
          <w:szCs w:val="22"/>
        </w:rPr>
      </w:pPr>
      <w:r w:rsidRPr="00345A1C">
        <w:rPr>
          <w:rFonts w:ascii="GHEA Grapalat" w:eastAsia="GHEA Grapalat" w:hAnsi="GHEA Grapalat" w:cs="GHEA Grapalat"/>
          <w:b/>
          <w:i/>
          <w:sz w:val="22"/>
          <w:szCs w:val="22"/>
        </w:rPr>
        <w:t>Արտաքին առևտուրն ըստ գործընկեր երկրների:</w:t>
      </w:r>
      <w:r w:rsidRPr="00345A1C">
        <w:rPr>
          <w:rFonts w:ascii="GHEA Grapalat" w:eastAsia="GHEA Grapalat" w:hAnsi="GHEA Grapalat" w:cs="GHEA Grapalat"/>
          <w:i/>
          <w:sz w:val="22"/>
          <w:szCs w:val="22"/>
        </w:rPr>
        <w:t xml:space="preserve"> </w:t>
      </w:r>
      <w:r w:rsidRPr="00A0409A">
        <w:rPr>
          <w:rFonts w:ascii="GHEA Grapalat" w:hAnsi="GHEA Grapalat"/>
          <w:sz w:val="22"/>
          <w:szCs w:val="22"/>
        </w:rPr>
        <w:t>2026թ. հունվար-</w:t>
      </w:r>
      <w:r>
        <w:rPr>
          <w:rFonts w:ascii="GHEA Grapalat" w:hAnsi="GHEA Grapalat"/>
          <w:sz w:val="22"/>
          <w:szCs w:val="22"/>
        </w:rPr>
        <w:t>հունիս</w:t>
      </w:r>
      <w:r w:rsidRPr="00A0409A">
        <w:rPr>
          <w:rFonts w:ascii="GHEA Grapalat" w:hAnsi="GHEA Grapalat"/>
          <w:sz w:val="22"/>
          <w:szCs w:val="22"/>
        </w:rPr>
        <w:t xml:space="preserve"> ամիսներին առևտրաշրջանառության աշխարհագրական կառուցվածքը նախորդ տարվա</w:t>
      </w:r>
      <w:r>
        <w:rPr>
          <w:rFonts w:ascii="GHEA Grapalat" w:hAnsi="GHEA Grapalat"/>
          <w:sz w:val="22"/>
          <w:szCs w:val="22"/>
        </w:rPr>
        <w:t xml:space="preserve"> նույն ժամանակահատ-վածի</w:t>
      </w:r>
      <w:r w:rsidRPr="00A0409A">
        <w:rPr>
          <w:rFonts w:ascii="GHEA Grapalat" w:hAnsi="GHEA Grapalat"/>
          <w:sz w:val="22"/>
          <w:szCs w:val="22"/>
        </w:rPr>
        <w:t xml:space="preserve"> նկատմամբ որոշակի</w:t>
      </w:r>
      <w:r>
        <w:rPr>
          <w:rFonts w:ascii="GHEA Grapalat" w:hAnsi="GHEA Grapalat"/>
          <w:sz w:val="22"/>
          <w:szCs w:val="22"/>
        </w:rPr>
        <w:t>որեն</w:t>
      </w:r>
      <w:r w:rsidRPr="00A0409A">
        <w:rPr>
          <w:rFonts w:ascii="GHEA Grapalat" w:hAnsi="GHEA Grapalat"/>
          <w:sz w:val="22"/>
          <w:szCs w:val="22"/>
        </w:rPr>
        <w:t xml:space="preserve"> փոփոխվել է։</w:t>
      </w:r>
      <w:r w:rsidRPr="00345A1C">
        <w:rPr>
          <w:rFonts w:ascii="GHEA Grapalat" w:eastAsia="GHEA Grapalat" w:hAnsi="GHEA Grapalat" w:cs="GHEA Grapalat"/>
          <w:b/>
          <w:sz w:val="22"/>
          <w:szCs w:val="22"/>
        </w:rPr>
        <w:t xml:space="preserve"> </w:t>
      </w:r>
      <w:r w:rsidRPr="00173E73">
        <w:rPr>
          <w:rFonts w:ascii="GHEA Grapalat" w:eastAsia="GHEA Grapalat" w:hAnsi="GHEA Grapalat" w:cs="GHEA Grapalat"/>
          <w:bCs/>
          <w:sz w:val="22"/>
          <w:szCs w:val="22"/>
        </w:rPr>
        <w:t>Արտաքին առևտրի կառուցվածքում այլ երկրների և ԵՄ երկրների դերը բարձրացել է, իսկ ԵԱՏՄ երկրների դերը՝ նվազել։</w:t>
      </w:r>
      <w:r>
        <w:rPr>
          <w:rFonts w:ascii="GHEA Grapalat" w:eastAsia="GHEA Grapalat" w:hAnsi="GHEA Grapalat" w:cs="GHEA Grapalat"/>
          <w:bCs/>
          <w:sz w:val="22"/>
          <w:szCs w:val="22"/>
        </w:rPr>
        <w:t xml:space="preserve"> </w:t>
      </w:r>
      <w:r w:rsidRPr="00345A1C">
        <w:rPr>
          <w:rFonts w:ascii="GHEA Grapalat" w:eastAsia="GHEA Grapalat" w:hAnsi="GHEA Grapalat" w:cs="GHEA Grapalat"/>
          <w:bCs/>
          <w:color w:val="000000" w:themeColor="text1"/>
          <w:sz w:val="22"/>
          <w:szCs w:val="22"/>
        </w:rPr>
        <w:t xml:space="preserve">ՀՀ արտաքին </w:t>
      </w:r>
      <w:r w:rsidRPr="00C17EA3">
        <w:rPr>
          <w:rFonts w:ascii="GHEA Grapalat" w:hAnsi="GHEA Grapalat"/>
          <w:sz w:val="22"/>
          <w:szCs w:val="22"/>
        </w:rPr>
        <w:t>առևտրաշրջանառության</w:t>
      </w:r>
      <w:r>
        <w:rPr>
          <w:rFonts w:ascii="GHEA Grapalat" w:eastAsia="GHEA Grapalat" w:hAnsi="GHEA Grapalat" w:cs="GHEA Grapalat"/>
          <w:bCs/>
          <w:color w:val="000000" w:themeColor="text1"/>
          <w:sz w:val="22"/>
          <w:szCs w:val="22"/>
        </w:rPr>
        <w:t xml:space="preserve"> 31</w:t>
      </w:r>
      <w:r w:rsidRPr="00345A1C">
        <w:rPr>
          <w:rFonts w:ascii="GHEA Grapalat" w:eastAsia="GHEA Grapalat" w:hAnsi="GHEA Grapalat" w:cs="GHEA Grapalat"/>
          <w:bCs/>
          <w:color w:val="000000" w:themeColor="text1"/>
          <w:sz w:val="22"/>
          <w:szCs w:val="22"/>
        </w:rPr>
        <w:t>%-ը բաժին է ընկել ԱՊՀ (որից</w:t>
      </w:r>
      <w:r>
        <w:rPr>
          <w:rFonts w:ascii="GHEA Grapalat" w:eastAsia="GHEA Grapalat" w:hAnsi="GHEA Grapalat" w:cs="GHEA Grapalat"/>
          <w:bCs/>
          <w:color w:val="000000" w:themeColor="text1"/>
          <w:sz w:val="22"/>
          <w:szCs w:val="22"/>
        </w:rPr>
        <w:t xml:space="preserve"> 29.4 տոկոս</w:t>
      </w:r>
      <w:r w:rsidRPr="00345A1C">
        <w:rPr>
          <w:rFonts w:ascii="GHEA Grapalat" w:eastAsia="GHEA Grapalat" w:hAnsi="GHEA Grapalat" w:cs="GHEA Grapalat"/>
          <w:bCs/>
          <w:color w:val="000000" w:themeColor="text1"/>
          <w:sz w:val="22"/>
          <w:szCs w:val="22"/>
        </w:rPr>
        <w:t>ային կետը` ԵԱՏՄ</w:t>
      </w:r>
      <w:r>
        <w:rPr>
          <w:rFonts w:ascii="GHEA Grapalat" w:eastAsia="GHEA Grapalat" w:hAnsi="GHEA Grapalat" w:cs="GHEA Grapalat"/>
          <w:bCs/>
          <w:color w:val="000000" w:themeColor="text1"/>
          <w:sz w:val="22"/>
          <w:szCs w:val="22"/>
        </w:rPr>
        <w:t>), 17.8</w:t>
      </w:r>
      <w:r w:rsidRPr="00345A1C">
        <w:rPr>
          <w:rFonts w:ascii="GHEA Grapalat" w:eastAsia="GHEA Grapalat" w:hAnsi="GHEA Grapalat" w:cs="GHEA Grapalat"/>
          <w:bCs/>
          <w:color w:val="000000" w:themeColor="text1"/>
          <w:sz w:val="22"/>
          <w:szCs w:val="22"/>
        </w:rPr>
        <w:t xml:space="preserve"> %-ը` ԵՄ և</w:t>
      </w:r>
      <w:r>
        <w:rPr>
          <w:rFonts w:ascii="GHEA Grapalat" w:eastAsia="GHEA Grapalat" w:hAnsi="GHEA Grapalat" w:cs="GHEA Grapalat"/>
          <w:bCs/>
          <w:color w:val="000000" w:themeColor="text1"/>
          <w:sz w:val="22"/>
          <w:szCs w:val="22"/>
        </w:rPr>
        <w:t xml:space="preserve"> 51.2</w:t>
      </w:r>
      <w:r w:rsidRPr="00345A1C">
        <w:rPr>
          <w:rFonts w:ascii="GHEA Grapalat" w:eastAsia="GHEA Grapalat" w:hAnsi="GHEA Grapalat" w:cs="GHEA Grapalat"/>
          <w:bCs/>
          <w:color w:val="000000" w:themeColor="text1"/>
          <w:sz w:val="22"/>
          <w:szCs w:val="22"/>
        </w:rPr>
        <w:t>%-ը` այլ երկրներին (որից</w:t>
      </w:r>
      <w:r>
        <w:rPr>
          <w:rFonts w:ascii="GHEA Grapalat" w:eastAsia="GHEA Grapalat" w:hAnsi="GHEA Grapalat" w:cs="GHEA Grapalat"/>
          <w:bCs/>
          <w:color w:val="000000" w:themeColor="text1"/>
          <w:sz w:val="22"/>
          <w:szCs w:val="22"/>
        </w:rPr>
        <w:t xml:space="preserve"> 15.4 տոկոս</w:t>
      </w:r>
      <w:r w:rsidRPr="00345A1C">
        <w:rPr>
          <w:rFonts w:ascii="GHEA Grapalat" w:eastAsia="GHEA Grapalat" w:hAnsi="GHEA Grapalat" w:cs="GHEA Grapalat"/>
          <w:bCs/>
          <w:color w:val="000000" w:themeColor="text1"/>
          <w:sz w:val="22"/>
          <w:szCs w:val="22"/>
        </w:rPr>
        <w:t xml:space="preserve">ային կետը` </w:t>
      </w:r>
      <w:r>
        <w:rPr>
          <w:rFonts w:ascii="GHEA Grapalat" w:eastAsia="GHEA Grapalat" w:hAnsi="GHEA Grapalat" w:cs="GHEA Grapalat"/>
          <w:bCs/>
          <w:color w:val="000000" w:themeColor="text1"/>
          <w:sz w:val="22"/>
          <w:szCs w:val="22"/>
        </w:rPr>
        <w:t>Չինաստանին</w:t>
      </w:r>
      <w:r w:rsidRPr="00345A1C">
        <w:rPr>
          <w:rFonts w:ascii="GHEA Grapalat" w:eastAsia="GHEA Grapalat" w:hAnsi="GHEA Grapalat" w:cs="GHEA Grapalat"/>
          <w:bCs/>
          <w:color w:val="000000" w:themeColor="text1"/>
          <w:sz w:val="22"/>
          <w:szCs w:val="22"/>
        </w:rPr>
        <w:t xml:space="preserve">): ՀՀ արտաքին առևտրաշրջանառության մեջ նախորդ տարվա համեմատ այլ երկրների կշիռն ավելացել է </w:t>
      </w:r>
      <w:r>
        <w:rPr>
          <w:rFonts w:ascii="GHEA Grapalat" w:eastAsia="GHEA Grapalat" w:hAnsi="GHEA Grapalat" w:cs="GHEA Grapalat"/>
          <w:bCs/>
          <w:color w:val="000000" w:themeColor="text1"/>
          <w:sz w:val="22"/>
          <w:szCs w:val="22"/>
        </w:rPr>
        <w:t xml:space="preserve">0.5 </w:t>
      </w:r>
      <w:r w:rsidRPr="00345A1C">
        <w:rPr>
          <w:rFonts w:ascii="GHEA Grapalat" w:eastAsia="GHEA Grapalat" w:hAnsi="GHEA Grapalat" w:cs="GHEA Grapalat"/>
          <w:bCs/>
          <w:color w:val="000000" w:themeColor="text1"/>
          <w:sz w:val="22"/>
          <w:szCs w:val="22"/>
        </w:rPr>
        <w:t xml:space="preserve">տոկոսային կետով և </w:t>
      </w:r>
      <w:r>
        <w:rPr>
          <w:rFonts w:ascii="GHEA Grapalat" w:eastAsia="GHEA Grapalat" w:hAnsi="GHEA Grapalat" w:cs="GHEA Grapalat"/>
          <w:bCs/>
          <w:color w:val="000000" w:themeColor="text1"/>
          <w:sz w:val="22"/>
          <w:szCs w:val="22"/>
        </w:rPr>
        <w:t>ԵՄ</w:t>
      </w:r>
      <w:r w:rsidRPr="00345A1C">
        <w:rPr>
          <w:rFonts w:ascii="GHEA Grapalat" w:eastAsia="GHEA Grapalat" w:hAnsi="GHEA Grapalat" w:cs="GHEA Grapalat"/>
          <w:bCs/>
          <w:color w:val="000000" w:themeColor="text1"/>
          <w:sz w:val="22"/>
          <w:szCs w:val="22"/>
        </w:rPr>
        <w:t xml:space="preserve"> երկրների կշիռը՝</w:t>
      </w:r>
      <w:r>
        <w:rPr>
          <w:rFonts w:ascii="GHEA Grapalat" w:eastAsia="GHEA Grapalat" w:hAnsi="GHEA Grapalat" w:cs="GHEA Grapalat"/>
          <w:bCs/>
          <w:color w:val="000000" w:themeColor="text1"/>
          <w:sz w:val="22"/>
          <w:szCs w:val="22"/>
        </w:rPr>
        <w:t xml:space="preserve"> </w:t>
      </w:r>
      <w:r w:rsidRPr="00DA4C9D">
        <w:rPr>
          <w:rFonts w:ascii="GHEA Grapalat" w:eastAsia="GHEA Grapalat" w:hAnsi="GHEA Grapalat" w:cs="GHEA Grapalat"/>
          <w:bCs/>
          <w:color w:val="000000" w:themeColor="text1"/>
          <w:sz w:val="22"/>
          <w:szCs w:val="22"/>
        </w:rPr>
        <w:t>5.</w:t>
      </w:r>
      <w:r>
        <w:rPr>
          <w:rFonts w:ascii="GHEA Grapalat" w:eastAsia="GHEA Grapalat" w:hAnsi="GHEA Grapalat" w:cs="GHEA Grapalat"/>
          <w:bCs/>
          <w:color w:val="000000" w:themeColor="text1"/>
          <w:sz w:val="22"/>
          <w:szCs w:val="22"/>
        </w:rPr>
        <w:t>7</w:t>
      </w:r>
      <w:r w:rsidRPr="00345A1C">
        <w:rPr>
          <w:rFonts w:ascii="GHEA Grapalat" w:eastAsia="GHEA Grapalat" w:hAnsi="GHEA Grapalat" w:cs="GHEA Grapalat"/>
          <w:bCs/>
          <w:color w:val="000000" w:themeColor="text1"/>
          <w:sz w:val="22"/>
          <w:szCs w:val="22"/>
        </w:rPr>
        <w:t xml:space="preserve"> տոկոսային կետով, իսկ </w:t>
      </w:r>
      <w:r>
        <w:rPr>
          <w:rFonts w:ascii="GHEA Grapalat" w:eastAsia="GHEA Grapalat" w:hAnsi="GHEA Grapalat" w:cs="GHEA Grapalat"/>
          <w:bCs/>
          <w:color w:val="000000" w:themeColor="text1"/>
          <w:sz w:val="22"/>
          <w:szCs w:val="22"/>
        </w:rPr>
        <w:t>ԱՊՀ երկ</w:t>
      </w:r>
      <w:r w:rsidRPr="00D24FA0">
        <w:rPr>
          <w:rFonts w:ascii="GHEA Grapalat" w:eastAsia="GHEA Grapalat" w:hAnsi="GHEA Grapalat" w:cs="GHEA Grapalat"/>
          <w:bCs/>
          <w:color w:val="000000" w:themeColor="text1"/>
          <w:sz w:val="22"/>
          <w:szCs w:val="22"/>
        </w:rPr>
        <w:t>ր</w:t>
      </w:r>
      <w:r>
        <w:rPr>
          <w:rFonts w:ascii="GHEA Grapalat" w:eastAsia="GHEA Grapalat" w:hAnsi="GHEA Grapalat" w:cs="GHEA Grapalat"/>
          <w:bCs/>
          <w:color w:val="000000" w:themeColor="text1"/>
          <w:sz w:val="22"/>
          <w:szCs w:val="22"/>
        </w:rPr>
        <w:t>ների</w:t>
      </w:r>
      <w:r w:rsidRPr="00345A1C">
        <w:rPr>
          <w:rFonts w:ascii="GHEA Grapalat" w:eastAsia="GHEA Grapalat" w:hAnsi="GHEA Grapalat" w:cs="GHEA Grapalat"/>
          <w:bCs/>
          <w:color w:val="000000" w:themeColor="text1"/>
          <w:sz w:val="22"/>
          <w:szCs w:val="22"/>
        </w:rPr>
        <w:t xml:space="preserve"> կշիռը նվազել է </w:t>
      </w:r>
      <w:r>
        <w:rPr>
          <w:rFonts w:ascii="GHEA Grapalat" w:eastAsia="GHEA Grapalat" w:hAnsi="GHEA Grapalat" w:cs="GHEA Grapalat"/>
          <w:bCs/>
          <w:color w:val="000000" w:themeColor="text1"/>
          <w:sz w:val="22"/>
          <w:szCs w:val="22"/>
        </w:rPr>
        <w:t xml:space="preserve">6.2 </w:t>
      </w:r>
      <w:r w:rsidRPr="00345A1C">
        <w:rPr>
          <w:rFonts w:ascii="GHEA Grapalat" w:eastAsia="GHEA Grapalat" w:hAnsi="GHEA Grapalat" w:cs="GHEA Grapalat"/>
          <w:bCs/>
          <w:color w:val="000000" w:themeColor="text1"/>
          <w:sz w:val="22"/>
          <w:szCs w:val="22"/>
        </w:rPr>
        <w:t>տոկոսային կետով</w:t>
      </w:r>
      <w:r>
        <w:rPr>
          <w:rFonts w:ascii="GHEA Grapalat" w:eastAsia="GHEA Grapalat" w:hAnsi="GHEA Grapalat" w:cs="GHEA Grapalat"/>
          <w:bCs/>
          <w:color w:val="000000" w:themeColor="text1"/>
          <w:sz w:val="22"/>
          <w:szCs w:val="22"/>
        </w:rPr>
        <w:t>,</w:t>
      </w:r>
      <w:r w:rsidRPr="005657B7">
        <w:rPr>
          <w:rFonts w:ascii="GHEA Grapalat" w:eastAsia="GHEA Grapalat" w:hAnsi="GHEA Grapalat" w:cs="GHEA Grapalat"/>
          <w:bCs/>
          <w:color w:val="000000" w:themeColor="text1"/>
          <w:sz w:val="22"/>
          <w:szCs w:val="22"/>
        </w:rPr>
        <w:t xml:space="preserve"> </w:t>
      </w:r>
      <w:r w:rsidRPr="00345A1C">
        <w:rPr>
          <w:rFonts w:ascii="GHEA Grapalat" w:eastAsia="GHEA Grapalat" w:hAnsi="GHEA Grapalat" w:cs="GHEA Grapalat"/>
          <w:bCs/>
          <w:color w:val="000000" w:themeColor="text1"/>
          <w:sz w:val="22"/>
          <w:szCs w:val="22"/>
        </w:rPr>
        <w:t>ԵԱՏՄ-</w:t>
      </w:r>
      <w:r w:rsidR="006E6B1B">
        <w:rPr>
          <w:rFonts w:ascii="GHEA Grapalat" w:eastAsia="GHEA Grapalat" w:hAnsi="GHEA Grapalat" w:cs="GHEA Grapalat"/>
          <w:bCs/>
          <w:color w:val="000000" w:themeColor="text1"/>
          <w:sz w:val="22"/>
          <w:szCs w:val="22"/>
          <w:lang w:val="en-US"/>
        </w:rPr>
        <w:t>ի</w:t>
      </w:r>
      <w:r w:rsidRPr="00345A1C">
        <w:rPr>
          <w:rFonts w:ascii="GHEA Grapalat" w:eastAsia="GHEA Grapalat" w:hAnsi="GHEA Grapalat" w:cs="GHEA Grapalat"/>
          <w:bCs/>
          <w:color w:val="000000" w:themeColor="text1"/>
          <w:sz w:val="22"/>
          <w:szCs w:val="22"/>
        </w:rPr>
        <w:t>ն</w:t>
      </w:r>
      <w:r w:rsidR="006E6B1B">
        <w:rPr>
          <w:rFonts w:ascii="GHEA Grapalat" w:eastAsia="GHEA Grapalat" w:hAnsi="GHEA Grapalat" w:cs="GHEA Grapalat"/>
          <w:bCs/>
          <w:color w:val="000000" w:themeColor="text1"/>
          <w:sz w:val="22"/>
          <w:szCs w:val="22"/>
          <w:lang w:val="en-US"/>
        </w:rPr>
        <w:t>ը</w:t>
      </w:r>
      <w:r w:rsidRPr="00345A1C">
        <w:rPr>
          <w:rFonts w:ascii="GHEA Grapalat" w:eastAsia="GHEA Grapalat" w:hAnsi="GHEA Grapalat" w:cs="GHEA Grapalat"/>
          <w:bCs/>
          <w:color w:val="000000" w:themeColor="text1"/>
          <w:sz w:val="22"/>
          <w:szCs w:val="22"/>
        </w:rPr>
        <w:t xml:space="preserve">՝ </w:t>
      </w:r>
      <w:r>
        <w:rPr>
          <w:rFonts w:ascii="GHEA Grapalat" w:eastAsia="GHEA Grapalat" w:hAnsi="GHEA Grapalat" w:cs="GHEA Grapalat"/>
          <w:bCs/>
          <w:color w:val="000000" w:themeColor="text1"/>
          <w:sz w:val="22"/>
          <w:szCs w:val="22"/>
        </w:rPr>
        <w:t>6.9</w:t>
      </w:r>
      <w:r w:rsidRPr="00345A1C">
        <w:rPr>
          <w:rFonts w:ascii="GHEA Grapalat" w:eastAsia="GHEA Grapalat" w:hAnsi="GHEA Grapalat" w:cs="GHEA Grapalat"/>
          <w:bCs/>
          <w:color w:val="000000" w:themeColor="text1"/>
          <w:sz w:val="22"/>
          <w:szCs w:val="22"/>
        </w:rPr>
        <w:t xml:space="preserve"> տոկոսային կետով (ՌԴ՝ </w:t>
      </w:r>
      <w:r>
        <w:rPr>
          <w:rFonts w:ascii="GHEA Grapalat" w:eastAsia="GHEA Grapalat" w:hAnsi="GHEA Grapalat" w:cs="GHEA Grapalat"/>
          <w:bCs/>
          <w:color w:val="000000" w:themeColor="text1"/>
          <w:sz w:val="22"/>
          <w:szCs w:val="22"/>
        </w:rPr>
        <w:t>7.2 տոկոսային կետ, որը հիմնականում պայմանավորված է վերաարտահանման կտրուկ նվազմամբ և որոշ ապրքանքատեսակների արտահանման սահմանափակումներով</w:t>
      </w:r>
      <w:r w:rsidRPr="00345A1C">
        <w:rPr>
          <w:rFonts w:ascii="GHEA Grapalat" w:eastAsia="GHEA Grapalat" w:hAnsi="GHEA Grapalat" w:cs="GHEA Grapalat"/>
          <w:bCs/>
          <w:color w:val="000000" w:themeColor="text1"/>
          <w:sz w:val="22"/>
          <w:szCs w:val="22"/>
        </w:rPr>
        <w:t>)։</w:t>
      </w:r>
    </w:p>
    <w:p w14:paraId="6CB29D86" w14:textId="1B24DFFF" w:rsidR="00475130" w:rsidRPr="00345A1C" w:rsidRDefault="00475130" w:rsidP="00C17EA3">
      <w:pPr>
        <w:spacing w:line="276" w:lineRule="auto"/>
        <w:ind w:firstLine="567"/>
        <w:jc w:val="both"/>
        <w:rPr>
          <w:rFonts w:ascii="GHEA Grapalat" w:eastAsia="GHEA Grapalat" w:hAnsi="GHEA Grapalat" w:cs="GHEA Grapalat"/>
          <w:bCs/>
          <w:sz w:val="22"/>
          <w:szCs w:val="22"/>
        </w:rPr>
      </w:pPr>
      <w:r w:rsidRPr="00345A1C">
        <w:rPr>
          <w:rFonts w:ascii="GHEA Grapalat" w:eastAsia="GHEA Grapalat" w:hAnsi="GHEA Grapalat" w:cs="GHEA Grapalat"/>
          <w:bCs/>
          <w:sz w:val="22"/>
          <w:szCs w:val="22"/>
        </w:rPr>
        <w:t xml:space="preserve">ՀՀ խոշոր առևտրային գործընկեր ՌԴ հետ առևտրաշրջանառության ծավալները հաշվետու տարում </w:t>
      </w:r>
      <w:r>
        <w:rPr>
          <w:rFonts w:ascii="GHEA Grapalat" w:eastAsia="GHEA Grapalat" w:hAnsi="GHEA Grapalat" w:cs="GHEA Grapalat"/>
          <w:bCs/>
          <w:sz w:val="22"/>
          <w:szCs w:val="22"/>
        </w:rPr>
        <w:t>նվազել</w:t>
      </w:r>
      <w:r w:rsidRPr="00345A1C">
        <w:rPr>
          <w:rFonts w:ascii="GHEA Grapalat" w:eastAsia="GHEA Grapalat" w:hAnsi="GHEA Grapalat" w:cs="GHEA Grapalat"/>
          <w:bCs/>
          <w:sz w:val="22"/>
          <w:szCs w:val="22"/>
        </w:rPr>
        <w:t xml:space="preserve"> են </w:t>
      </w:r>
      <w:r>
        <w:rPr>
          <w:rFonts w:ascii="GHEA Grapalat" w:eastAsia="GHEA Grapalat" w:hAnsi="GHEA Grapalat" w:cs="GHEA Grapalat"/>
          <w:bCs/>
          <w:sz w:val="22"/>
          <w:szCs w:val="22"/>
        </w:rPr>
        <w:t>20.9</w:t>
      </w:r>
      <w:r w:rsidRPr="006B42A9">
        <w:rPr>
          <w:rFonts w:ascii="GHEA Grapalat" w:eastAsia="GHEA Grapalat" w:hAnsi="GHEA Grapalat" w:cs="GHEA Grapalat"/>
          <w:bCs/>
          <w:sz w:val="22"/>
          <w:szCs w:val="22"/>
        </w:rPr>
        <w:t>%-</w:t>
      </w:r>
      <w:r>
        <w:rPr>
          <w:rFonts w:ascii="GHEA Grapalat" w:eastAsia="GHEA Grapalat" w:hAnsi="GHEA Grapalat" w:cs="GHEA Grapalat"/>
          <w:bCs/>
          <w:sz w:val="22"/>
          <w:szCs w:val="22"/>
        </w:rPr>
        <w:t>ով</w:t>
      </w:r>
      <w:r w:rsidRPr="00345A1C">
        <w:rPr>
          <w:rFonts w:ascii="GHEA Grapalat" w:eastAsia="GHEA Grapalat" w:hAnsi="GHEA Grapalat" w:cs="GHEA Grapalat"/>
          <w:bCs/>
          <w:sz w:val="22"/>
          <w:szCs w:val="22"/>
        </w:rPr>
        <w:t>, որին</w:t>
      </w:r>
      <w:r>
        <w:rPr>
          <w:rFonts w:ascii="GHEA Grapalat" w:eastAsia="GHEA Grapalat" w:hAnsi="GHEA Grapalat" w:cs="GHEA Grapalat"/>
          <w:bCs/>
          <w:sz w:val="22"/>
          <w:szCs w:val="22"/>
        </w:rPr>
        <w:t xml:space="preserve"> մեծ</w:t>
      </w:r>
      <w:r w:rsidRPr="00345A1C">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նպաստում</w:t>
      </w:r>
      <w:r w:rsidRPr="00345A1C">
        <w:rPr>
          <w:rFonts w:ascii="GHEA Grapalat" w:eastAsia="GHEA Grapalat" w:hAnsi="GHEA Grapalat" w:cs="GHEA Grapalat"/>
          <w:bCs/>
          <w:sz w:val="22"/>
          <w:szCs w:val="22"/>
        </w:rPr>
        <w:t xml:space="preserve"> է </w:t>
      </w:r>
      <w:r>
        <w:rPr>
          <w:rFonts w:ascii="GHEA Grapalat" w:eastAsia="GHEA Grapalat" w:hAnsi="GHEA Grapalat" w:cs="GHEA Grapalat"/>
          <w:bCs/>
          <w:sz w:val="22"/>
          <w:szCs w:val="22"/>
        </w:rPr>
        <w:t xml:space="preserve">ունեցել </w:t>
      </w:r>
      <w:r w:rsidRPr="00345A1C">
        <w:rPr>
          <w:rFonts w:ascii="GHEA Grapalat" w:eastAsia="GHEA Grapalat" w:hAnsi="GHEA Grapalat" w:cs="GHEA Grapalat"/>
          <w:bCs/>
          <w:sz w:val="22"/>
          <w:szCs w:val="22"/>
        </w:rPr>
        <w:t xml:space="preserve">ՌԴ-ից ներմուծման </w:t>
      </w:r>
      <w:r>
        <w:rPr>
          <w:rFonts w:ascii="GHEA Grapalat" w:eastAsia="GHEA Grapalat" w:hAnsi="GHEA Grapalat" w:cs="GHEA Grapalat"/>
          <w:bCs/>
          <w:sz w:val="22"/>
          <w:szCs w:val="22"/>
        </w:rPr>
        <w:t>31.4</w:t>
      </w:r>
      <w:r w:rsidRPr="006B42A9">
        <w:rPr>
          <w:rFonts w:ascii="GHEA Grapalat" w:eastAsia="GHEA Grapalat" w:hAnsi="GHEA Grapalat" w:cs="GHEA Grapalat"/>
          <w:bCs/>
          <w:sz w:val="22"/>
          <w:szCs w:val="22"/>
        </w:rPr>
        <w:t>%</w:t>
      </w:r>
      <w:r w:rsidRPr="00345A1C">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անկումը</w:t>
      </w:r>
      <w:r w:rsidRPr="00522AFE">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 xml:space="preserve">հիմնականում </w:t>
      </w:r>
      <w:r w:rsidRPr="00C17EA3">
        <w:rPr>
          <w:rFonts w:ascii="GHEA Grapalat" w:hAnsi="GHEA Grapalat"/>
          <w:sz w:val="22"/>
          <w:szCs w:val="22"/>
        </w:rPr>
        <w:t>վերաարտահանման</w:t>
      </w:r>
      <w:r>
        <w:rPr>
          <w:rFonts w:ascii="GHEA Grapalat" w:eastAsia="GHEA Grapalat" w:hAnsi="GHEA Grapalat" w:cs="GHEA Grapalat"/>
          <w:bCs/>
          <w:sz w:val="22"/>
          <w:szCs w:val="22"/>
        </w:rPr>
        <w:t xml:space="preserve"> նպատակով ներմուծվող </w:t>
      </w:r>
      <w:r w:rsidRPr="00522AFE">
        <w:rPr>
          <w:rFonts w:ascii="GHEA Grapalat" w:eastAsia="GHEA Grapalat" w:hAnsi="GHEA Grapalat" w:cs="GHEA Grapalat"/>
          <w:bCs/>
          <w:sz w:val="22"/>
          <w:szCs w:val="22"/>
        </w:rPr>
        <w:t>թանկարժեք մետաղներ</w:t>
      </w:r>
      <w:r>
        <w:rPr>
          <w:rFonts w:ascii="GHEA Grapalat" w:eastAsia="GHEA Grapalat" w:hAnsi="GHEA Grapalat" w:cs="GHEA Grapalat"/>
          <w:bCs/>
          <w:sz w:val="22"/>
          <w:szCs w:val="22"/>
        </w:rPr>
        <w:t>ի ծավալների նվազմամբ</w:t>
      </w:r>
      <w:r w:rsidRPr="00522AFE">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պայմանավորված</w:t>
      </w:r>
      <w:r w:rsidRPr="00522AFE">
        <w:rPr>
          <w:rFonts w:ascii="GHEA Grapalat" w:eastAsia="GHEA Grapalat" w:hAnsi="GHEA Grapalat" w:cs="GHEA Grapalat"/>
          <w:bCs/>
          <w:sz w:val="22"/>
          <w:szCs w:val="22"/>
        </w:rPr>
        <w:t>)</w:t>
      </w:r>
      <w:r>
        <w:rPr>
          <w:rFonts w:ascii="GHEA Grapalat" w:eastAsia="GHEA Grapalat" w:hAnsi="GHEA Grapalat" w:cs="GHEA Grapalat"/>
          <w:bCs/>
          <w:sz w:val="22"/>
          <w:szCs w:val="22"/>
        </w:rPr>
        <w:t>:</w:t>
      </w:r>
      <w:r w:rsidRPr="00345A1C">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 xml:space="preserve">Դեպի </w:t>
      </w:r>
      <w:r w:rsidRPr="00345A1C">
        <w:rPr>
          <w:rFonts w:ascii="GHEA Grapalat" w:eastAsia="GHEA Grapalat" w:hAnsi="GHEA Grapalat" w:cs="GHEA Grapalat"/>
          <w:bCs/>
          <w:sz w:val="22"/>
          <w:szCs w:val="22"/>
        </w:rPr>
        <w:t xml:space="preserve">ՌԴ ապրանքների արտահանումը </w:t>
      </w:r>
      <w:r>
        <w:rPr>
          <w:rFonts w:ascii="GHEA Grapalat" w:eastAsia="GHEA Grapalat" w:hAnsi="GHEA Grapalat" w:cs="GHEA Grapalat"/>
          <w:bCs/>
          <w:sz w:val="22"/>
          <w:szCs w:val="22"/>
        </w:rPr>
        <w:t xml:space="preserve">նույնպես </w:t>
      </w:r>
      <w:r w:rsidRPr="00345A1C">
        <w:rPr>
          <w:rFonts w:ascii="GHEA Grapalat" w:eastAsia="GHEA Grapalat" w:hAnsi="GHEA Grapalat" w:cs="GHEA Grapalat"/>
          <w:bCs/>
          <w:sz w:val="22"/>
          <w:szCs w:val="22"/>
        </w:rPr>
        <w:t>ունեցել է բացասական նպաստում</w:t>
      </w:r>
      <w:r w:rsidRPr="00345A1C">
        <w:rPr>
          <w:rFonts w:ascii="GHEA Grapalat" w:eastAsia="GHEA Grapalat" w:hAnsi="GHEA Grapalat" w:cs="GHEA Grapalat"/>
          <w:bCs/>
          <w:color w:val="000000" w:themeColor="text1"/>
          <w:sz w:val="22"/>
          <w:szCs w:val="22"/>
        </w:rPr>
        <w:t xml:space="preserve">: </w:t>
      </w:r>
      <w:r>
        <w:rPr>
          <w:rFonts w:ascii="GHEA Grapalat" w:eastAsia="GHEA Grapalat" w:hAnsi="GHEA Grapalat" w:cs="GHEA Grapalat"/>
          <w:bCs/>
          <w:sz w:val="22"/>
          <w:szCs w:val="22"/>
        </w:rPr>
        <w:t>2026</w:t>
      </w:r>
      <w:r w:rsidRPr="00345A1C">
        <w:rPr>
          <w:rFonts w:ascii="GHEA Grapalat" w:eastAsia="GHEA Grapalat" w:hAnsi="GHEA Grapalat" w:cs="GHEA Grapalat"/>
          <w:bCs/>
          <w:sz w:val="22"/>
          <w:szCs w:val="22"/>
        </w:rPr>
        <w:t>թ</w:t>
      </w:r>
      <w:r>
        <w:rPr>
          <w:rFonts w:ascii="GHEA Grapalat" w:eastAsia="GHEA Grapalat" w:hAnsi="GHEA Grapalat" w:cs="GHEA Grapalat"/>
          <w:bCs/>
          <w:sz w:val="22"/>
          <w:szCs w:val="22"/>
        </w:rPr>
        <w:t>. հունվար-հունիս ամիսներին</w:t>
      </w:r>
      <w:r w:rsidRPr="00345A1C">
        <w:rPr>
          <w:rFonts w:ascii="GHEA Grapalat" w:eastAsia="GHEA Grapalat" w:hAnsi="GHEA Grapalat" w:cs="GHEA Grapalat"/>
          <w:bCs/>
          <w:sz w:val="22"/>
          <w:szCs w:val="22"/>
        </w:rPr>
        <w:t xml:space="preserve"> ՀՀ խոշոր առևտրային գործընկերների շրջանակում ընդգրկված</w:t>
      </w:r>
      <w:r>
        <w:rPr>
          <w:rFonts w:ascii="GHEA Grapalat" w:eastAsia="GHEA Grapalat" w:hAnsi="GHEA Grapalat" w:cs="GHEA Grapalat"/>
          <w:bCs/>
          <w:sz w:val="22"/>
          <w:szCs w:val="22"/>
        </w:rPr>
        <w:t xml:space="preserve"> են </w:t>
      </w:r>
      <w:r w:rsidRPr="00345A1C">
        <w:rPr>
          <w:rFonts w:ascii="GHEA Grapalat" w:eastAsia="GHEA Grapalat" w:hAnsi="GHEA Grapalat" w:cs="GHEA Grapalat"/>
          <w:bCs/>
          <w:sz w:val="22"/>
          <w:szCs w:val="22"/>
        </w:rPr>
        <w:t>Չինաստանը (</w:t>
      </w:r>
      <w:r>
        <w:rPr>
          <w:rFonts w:ascii="GHEA Grapalat" w:eastAsia="GHEA Grapalat" w:hAnsi="GHEA Grapalat" w:cs="GHEA Grapalat"/>
          <w:bCs/>
          <w:sz w:val="22"/>
          <w:szCs w:val="22"/>
        </w:rPr>
        <w:t>15.4</w:t>
      </w:r>
      <w:r w:rsidRPr="00345A1C">
        <w:rPr>
          <w:rFonts w:ascii="GHEA Grapalat" w:eastAsia="GHEA Grapalat" w:hAnsi="GHEA Grapalat" w:cs="GHEA Grapalat"/>
          <w:bCs/>
          <w:sz w:val="22"/>
          <w:szCs w:val="22"/>
        </w:rPr>
        <w:t>%), Իրանը</w:t>
      </w:r>
      <w:r>
        <w:rPr>
          <w:rFonts w:ascii="GHEA Grapalat" w:eastAsia="GHEA Grapalat" w:hAnsi="GHEA Grapalat" w:cs="GHEA Grapalat"/>
          <w:bCs/>
          <w:sz w:val="22"/>
          <w:szCs w:val="22"/>
        </w:rPr>
        <w:t xml:space="preserve"> (3.9</w:t>
      </w:r>
      <w:r w:rsidRPr="00345A1C">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 xml:space="preserve">ԱՄԷ </w:t>
      </w:r>
      <w:r w:rsidRPr="006B42A9">
        <w:rPr>
          <w:rFonts w:ascii="GHEA Grapalat" w:eastAsia="GHEA Grapalat" w:hAnsi="GHEA Grapalat" w:cs="GHEA Grapalat"/>
          <w:bCs/>
          <w:sz w:val="22"/>
          <w:szCs w:val="22"/>
        </w:rPr>
        <w:t>(</w:t>
      </w:r>
      <w:r>
        <w:rPr>
          <w:rFonts w:ascii="GHEA Grapalat" w:eastAsia="GHEA Grapalat" w:hAnsi="GHEA Grapalat" w:cs="GHEA Grapalat"/>
          <w:bCs/>
          <w:sz w:val="22"/>
          <w:szCs w:val="22"/>
        </w:rPr>
        <w:t>3.2</w:t>
      </w:r>
      <w:r w:rsidRPr="006B42A9">
        <w:rPr>
          <w:rFonts w:ascii="GHEA Grapalat" w:eastAsia="GHEA Grapalat" w:hAnsi="GHEA Grapalat" w:cs="GHEA Grapalat"/>
          <w:bCs/>
          <w:sz w:val="22"/>
          <w:szCs w:val="22"/>
        </w:rPr>
        <w:t xml:space="preserve">%), </w:t>
      </w:r>
      <w:r w:rsidRPr="00345A1C">
        <w:rPr>
          <w:rFonts w:ascii="GHEA Grapalat" w:eastAsia="GHEA Grapalat" w:hAnsi="GHEA Grapalat" w:cs="GHEA Grapalat"/>
          <w:bCs/>
          <w:sz w:val="22"/>
          <w:szCs w:val="22"/>
        </w:rPr>
        <w:t>Գերմանիան</w:t>
      </w:r>
      <w:r>
        <w:rPr>
          <w:rFonts w:ascii="GHEA Grapalat" w:eastAsia="GHEA Grapalat" w:hAnsi="GHEA Grapalat" w:cs="GHEA Grapalat"/>
          <w:bCs/>
          <w:sz w:val="22"/>
          <w:szCs w:val="22"/>
        </w:rPr>
        <w:t xml:space="preserve"> (3</w:t>
      </w:r>
      <w:r w:rsidR="00DA5D85">
        <w:rPr>
          <w:rFonts w:ascii="GHEA Grapalat" w:eastAsia="GHEA Grapalat" w:hAnsi="GHEA Grapalat" w:cs="GHEA Grapalat"/>
          <w:bCs/>
          <w:sz w:val="22"/>
          <w:szCs w:val="22"/>
        </w:rPr>
        <w:t>.0</w:t>
      </w:r>
      <w:r w:rsidRPr="00345A1C">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 </w:t>
      </w:r>
      <w:r w:rsidRPr="00345A1C">
        <w:rPr>
          <w:rFonts w:ascii="GHEA Grapalat" w:eastAsia="GHEA Grapalat" w:hAnsi="GHEA Grapalat" w:cs="GHEA Grapalat"/>
          <w:bCs/>
          <w:sz w:val="22"/>
          <w:szCs w:val="22"/>
        </w:rPr>
        <w:t>ԱՄՆ-ն (</w:t>
      </w:r>
      <w:r w:rsidRPr="00E23BC2">
        <w:rPr>
          <w:rFonts w:ascii="GHEA Grapalat" w:eastAsia="GHEA Grapalat" w:hAnsi="GHEA Grapalat" w:cs="GHEA Grapalat"/>
          <w:bCs/>
          <w:sz w:val="22"/>
          <w:szCs w:val="22"/>
        </w:rPr>
        <w:t>2</w:t>
      </w:r>
      <w:r>
        <w:rPr>
          <w:rFonts w:ascii="GHEA Grapalat" w:eastAsia="GHEA Grapalat" w:hAnsi="GHEA Grapalat" w:cs="GHEA Grapalat"/>
          <w:bCs/>
          <w:sz w:val="22"/>
          <w:szCs w:val="22"/>
        </w:rPr>
        <w:t xml:space="preserve">.7%), Իտալիան </w:t>
      </w:r>
      <w:r w:rsidRPr="006B42A9">
        <w:rPr>
          <w:rFonts w:ascii="GHEA Grapalat" w:eastAsia="GHEA Grapalat" w:hAnsi="GHEA Grapalat" w:cs="GHEA Grapalat"/>
          <w:bCs/>
          <w:sz w:val="22"/>
          <w:szCs w:val="22"/>
        </w:rPr>
        <w:t>(</w:t>
      </w:r>
      <w:r>
        <w:rPr>
          <w:rFonts w:ascii="GHEA Grapalat" w:eastAsia="GHEA Grapalat" w:hAnsi="GHEA Grapalat" w:cs="GHEA Grapalat"/>
          <w:bCs/>
          <w:sz w:val="22"/>
          <w:szCs w:val="22"/>
        </w:rPr>
        <w:t>2.4</w:t>
      </w:r>
      <w:r w:rsidRPr="006B42A9">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 Բուլղարիան </w:t>
      </w:r>
      <w:r w:rsidRPr="00E23BC2">
        <w:rPr>
          <w:rFonts w:ascii="GHEA Grapalat" w:eastAsia="GHEA Grapalat" w:hAnsi="GHEA Grapalat" w:cs="GHEA Grapalat"/>
          <w:bCs/>
          <w:sz w:val="22"/>
          <w:szCs w:val="22"/>
        </w:rPr>
        <w:t>(</w:t>
      </w:r>
      <w:r>
        <w:rPr>
          <w:rFonts w:ascii="GHEA Grapalat" w:eastAsia="GHEA Grapalat" w:hAnsi="GHEA Grapalat" w:cs="GHEA Grapalat"/>
          <w:bCs/>
          <w:sz w:val="22"/>
          <w:szCs w:val="22"/>
        </w:rPr>
        <w:t>2.3</w:t>
      </w:r>
      <w:r w:rsidRPr="00E23BC2">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 xml:space="preserve">Իրաքը </w:t>
      </w:r>
      <w:r w:rsidRPr="00952C57">
        <w:rPr>
          <w:rFonts w:ascii="GHEA Grapalat" w:eastAsia="GHEA Grapalat" w:hAnsi="GHEA Grapalat" w:cs="GHEA Grapalat"/>
          <w:bCs/>
          <w:sz w:val="22"/>
          <w:szCs w:val="22"/>
        </w:rPr>
        <w:t>(</w:t>
      </w:r>
      <w:r>
        <w:rPr>
          <w:rFonts w:ascii="GHEA Grapalat" w:eastAsia="GHEA Grapalat" w:hAnsi="GHEA Grapalat" w:cs="GHEA Grapalat"/>
          <w:bCs/>
          <w:sz w:val="22"/>
          <w:szCs w:val="22"/>
        </w:rPr>
        <w:t>1.9%</w:t>
      </w:r>
      <w:r w:rsidRPr="00952C57">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 </w:t>
      </w:r>
      <w:r w:rsidRPr="00345A1C">
        <w:rPr>
          <w:rFonts w:ascii="GHEA Grapalat" w:eastAsia="GHEA Grapalat" w:hAnsi="GHEA Grapalat" w:cs="GHEA Grapalat"/>
          <w:bCs/>
          <w:sz w:val="22"/>
          <w:szCs w:val="22"/>
        </w:rPr>
        <w:t>և այլն:</w:t>
      </w:r>
    </w:p>
    <w:p w14:paraId="1B521E69" w14:textId="65BDFEE7" w:rsidR="00475130" w:rsidRDefault="00475130" w:rsidP="00475130">
      <w:pPr>
        <w:spacing w:line="276" w:lineRule="auto"/>
        <w:ind w:firstLine="567"/>
        <w:jc w:val="both"/>
        <w:rPr>
          <w:rFonts w:ascii="GHEA Grapalat" w:eastAsia="GHEA Grapalat" w:hAnsi="GHEA Grapalat" w:cs="GHEA Grapalat"/>
          <w:sz w:val="22"/>
          <w:szCs w:val="22"/>
        </w:rPr>
      </w:pPr>
      <w:r>
        <w:rPr>
          <w:rFonts w:ascii="GHEA Grapalat" w:eastAsia="GHEA Grapalat" w:hAnsi="GHEA Grapalat" w:cs="GHEA Grapalat"/>
          <w:b/>
          <w:i/>
          <w:sz w:val="22"/>
          <w:szCs w:val="22"/>
        </w:rPr>
        <w:t>Զբոսաշրջություն</w:t>
      </w:r>
      <w:r w:rsidRPr="00345A1C">
        <w:rPr>
          <w:rFonts w:ascii="GHEA Grapalat" w:eastAsia="GHEA Grapalat" w:hAnsi="GHEA Grapalat" w:cs="GHEA Grapalat"/>
          <w:b/>
          <w:i/>
          <w:sz w:val="22"/>
          <w:szCs w:val="22"/>
        </w:rPr>
        <w:t>:</w:t>
      </w:r>
      <w:r>
        <w:rPr>
          <w:rFonts w:ascii="GHEA Grapalat" w:eastAsia="GHEA Grapalat" w:hAnsi="GHEA Grapalat" w:cs="GHEA Grapalat"/>
          <w:b/>
          <w:sz w:val="22"/>
          <w:szCs w:val="22"/>
        </w:rPr>
        <w:t xml:space="preserve"> </w:t>
      </w:r>
      <w:r w:rsidRPr="00F71407">
        <w:rPr>
          <w:rFonts w:ascii="GHEA Grapalat" w:eastAsia="GHEA Grapalat" w:hAnsi="GHEA Grapalat" w:cs="GHEA Grapalat"/>
          <w:bCs/>
          <w:sz w:val="22"/>
          <w:szCs w:val="22"/>
        </w:rPr>
        <w:t>2026թ. հունվար-</w:t>
      </w:r>
      <w:r>
        <w:rPr>
          <w:rFonts w:ascii="GHEA Grapalat" w:eastAsia="GHEA Grapalat" w:hAnsi="GHEA Grapalat" w:cs="GHEA Grapalat"/>
          <w:bCs/>
          <w:sz w:val="22"/>
          <w:szCs w:val="22"/>
        </w:rPr>
        <w:t>հունիս</w:t>
      </w:r>
      <w:r w:rsidRPr="00F71407">
        <w:rPr>
          <w:rFonts w:ascii="GHEA Grapalat" w:eastAsia="GHEA Grapalat" w:hAnsi="GHEA Grapalat" w:cs="GHEA Grapalat"/>
          <w:bCs/>
          <w:sz w:val="22"/>
          <w:szCs w:val="22"/>
        </w:rPr>
        <w:t xml:space="preserve"> ամիսներին ՀՀ այցելած զբոսաշրջիկների թվաքանակը նախորդ տարվա նույն ժամանակահատվածի համեմատ ավելացել է, իսկ ՀՀ-ից մեկնած զբոսաշրջիկների թվաքանակը</w:t>
      </w:r>
      <w:r w:rsidR="00DA5D85">
        <w:rPr>
          <w:rFonts w:ascii="GHEA Grapalat" w:eastAsia="GHEA Grapalat" w:hAnsi="GHEA Grapalat" w:cs="GHEA Grapalat"/>
          <w:bCs/>
          <w:sz w:val="22"/>
          <w:szCs w:val="22"/>
        </w:rPr>
        <w:t>՝</w:t>
      </w:r>
      <w:r w:rsidRPr="00F71407">
        <w:rPr>
          <w:rFonts w:ascii="GHEA Grapalat" w:eastAsia="GHEA Grapalat" w:hAnsi="GHEA Grapalat" w:cs="GHEA Grapalat"/>
          <w:bCs/>
          <w:sz w:val="22"/>
          <w:szCs w:val="22"/>
        </w:rPr>
        <w:t xml:space="preserve"> նվազել: </w:t>
      </w:r>
      <w:r w:rsidR="00DA5D85">
        <w:rPr>
          <w:rFonts w:ascii="GHEA Grapalat" w:eastAsia="GHEA Grapalat" w:hAnsi="GHEA Grapalat" w:cs="GHEA Grapalat"/>
          <w:bCs/>
          <w:sz w:val="22"/>
          <w:szCs w:val="22"/>
        </w:rPr>
        <w:t xml:space="preserve">Հաշվետու ժամանակահատվածում </w:t>
      </w:r>
      <w:r w:rsidRPr="00A56DD1">
        <w:rPr>
          <w:rFonts w:ascii="GHEA Grapalat" w:eastAsia="GHEA Grapalat" w:hAnsi="GHEA Grapalat" w:cs="GHEA Grapalat"/>
          <w:sz w:val="22"/>
          <w:szCs w:val="22"/>
        </w:rPr>
        <w:t xml:space="preserve">ՀՀ այցելած զբոսաշրջիկների թվաքանակը նախորդ տարվա նույն ժամանակահատվածի նկատմամբ </w:t>
      </w:r>
      <w:r>
        <w:rPr>
          <w:rFonts w:ascii="GHEA Grapalat" w:eastAsia="GHEA Grapalat" w:hAnsi="GHEA Grapalat" w:cs="GHEA Grapalat"/>
          <w:sz w:val="22"/>
          <w:szCs w:val="22"/>
        </w:rPr>
        <w:t>աճել</w:t>
      </w:r>
      <w:r w:rsidRPr="00A56DD1">
        <w:rPr>
          <w:rFonts w:ascii="GHEA Grapalat" w:eastAsia="GHEA Grapalat" w:hAnsi="GHEA Grapalat" w:cs="GHEA Grapalat"/>
          <w:sz w:val="22"/>
          <w:szCs w:val="22"/>
        </w:rPr>
        <w:t xml:space="preserve"> է </w:t>
      </w:r>
      <w:r>
        <w:rPr>
          <w:rFonts w:ascii="GHEA Grapalat" w:eastAsia="GHEA Grapalat" w:hAnsi="GHEA Grapalat" w:cs="GHEA Grapalat"/>
          <w:sz w:val="22"/>
          <w:szCs w:val="22"/>
        </w:rPr>
        <w:t>14.8</w:t>
      </w:r>
      <w:r w:rsidRPr="00A56DD1">
        <w:rPr>
          <w:rFonts w:ascii="GHEA Grapalat" w:eastAsia="GHEA Grapalat" w:hAnsi="GHEA Grapalat" w:cs="GHEA Grapalat"/>
          <w:sz w:val="22"/>
          <w:szCs w:val="22"/>
        </w:rPr>
        <w:t>%</w:t>
      </w:r>
      <w:r>
        <w:rPr>
          <w:rFonts w:ascii="GHEA Grapalat" w:eastAsia="GHEA Grapalat" w:hAnsi="GHEA Grapalat" w:cs="GHEA Grapalat"/>
          <w:sz w:val="22"/>
          <w:szCs w:val="22"/>
        </w:rPr>
        <w:t>-ով</w:t>
      </w:r>
      <w:r w:rsidRPr="00A56DD1">
        <w:rPr>
          <w:rFonts w:ascii="GHEA Grapalat" w:eastAsia="GHEA Grapalat" w:hAnsi="GHEA Grapalat" w:cs="GHEA Grapalat"/>
          <w:sz w:val="22"/>
          <w:szCs w:val="22"/>
        </w:rPr>
        <w:t xml:space="preserve"> </w:t>
      </w:r>
      <w:r w:rsidRPr="005C63FA">
        <w:rPr>
          <w:rFonts w:ascii="GHEA Grapalat" w:eastAsia="GHEA Grapalat" w:hAnsi="GHEA Grapalat" w:cs="GHEA Grapalat"/>
          <w:sz w:val="22"/>
          <w:szCs w:val="22"/>
        </w:rPr>
        <w:t xml:space="preserve">(շուրջ </w:t>
      </w:r>
      <w:r>
        <w:rPr>
          <w:rFonts w:ascii="GHEA Grapalat" w:eastAsia="GHEA Grapalat" w:hAnsi="GHEA Grapalat" w:cs="GHEA Grapalat"/>
          <w:sz w:val="22"/>
          <w:szCs w:val="22"/>
        </w:rPr>
        <w:t>134</w:t>
      </w:r>
      <w:r w:rsidRPr="005C63FA">
        <w:rPr>
          <w:rFonts w:ascii="GHEA Grapalat" w:eastAsia="GHEA Grapalat" w:hAnsi="GHEA Grapalat" w:cs="GHEA Grapalat"/>
          <w:sz w:val="22"/>
          <w:szCs w:val="22"/>
        </w:rPr>
        <w:t xml:space="preserve"> </w:t>
      </w:r>
      <w:r w:rsidRPr="00C17EA3">
        <w:rPr>
          <w:rFonts w:ascii="GHEA Grapalat" w:hAnsi="GHEA Grapalat"/>
          <w:sz w:val="22"/>
          <w:szCs w:val="22"/>
        </w:rPr>
        <w:t>հազար</w:t>
      </w:r>
      <w:r w:rsidR="007F4EE4" w:rsidRPr="00C17EA3">
        <w:rPr>
          <w:rFonts w:ascii="GHEA Grapalat" w:hAnsi="GHEA Grapalat"/>
          <w:sz w:val="22"/>
          <w:szCs w:val="22"/>
        </w:rPr>
        <w:t>ով</w:t>
      </w:r>
      <w:r w:rsidR="00915E8C">
        <w:rPr>
          <w:rFonts w:ascii="GHEA Grapalat" w:hAnsi="GHEA Grapalat"/>
          <w:sz w:val="22"/>
          <w:szCs w:val="22"/>
          <w:lang w:val="en-US"/>
        </w:rPr>
        <w:t>)</w:t>
      </w:r>
      <w:r w:rsidRPr="005C63FA">
        <w:rPr>
          <w:rFonts w:ascii="GHEA Grapalat" w:eastAsia="GHEA Grapalat" w:hAnsi="GHEA Grapalat" w:cs="GHEA Grapalat"/>
          <w:sz w:val="22"/>
          <w:szCs w:val="22"/>
        </w:rPr>
        <w:t xml:space="preserve">, որին հիմնականում նպաստել է </w:t>
      </w:r>
      <w:r>
        <w:rPr>
          <w:rFonts w:ascii="GHEA Grapalat" w:eastAsia="GHEA Grapalat" w:hAnsi="GHEA Grapalat" w:cs="GHEA Grapalat"/>
          <w:sz w:val="22"/>
          <w:szCs w:val="22"/>
        </w:rPr>
        <w:t>ՌԴ-ից, Վրաստանից, Իտալիայից, Իրանից, Ուկրաինայից և այլ երկրներից</w:t>
      </w:r>
      <w:r w:rsidRPr="005C63FA">
        <w:rPr>
          <w:rFonts w:ascii="GHEA Grapalat" w:eastAsia="GHEA Grapalat" w:hAnsi="GHEA Grapalat" w:cs="GHEA Grapalat"/>
          <w:sz w:val="22"/>
          <w:szCs w:val="22"/>
        </w:rPr>
        <w:t xml:space="preserve"> զբոսաշրջիկների թվաքանակի </w:t>
      </w:r>
      <w:r>
        <w:rPr>
          <w:rFonts w:ascii="GHEA Grapalat" w:eastAsia="GHEA Grapalat" w:hAnsi="GHEA Grapalat" w:cs="GHEA Grapalat"/>
          <w:sz w:val="22"/>
          <w:szCs w:val="22"/>
        </w:rPr>
        <w:t>աճ</w:t>
      </w:r>
      <w:r w:rsidRPr="005C63FA">
        <w:rPr>
          <w:rFonts w:ascii="GHEA Grapalat" w:eastAsia="GHEA Grapalat" w:hAnsi="GHEA Grapalat" w:cs="GHEA Grapalat"/>
          <w:sz w:val="22"/>
          <w:szCs w:val="22"/>
        </w:rPr>
        <w:t>ը:</w:t>
      </w:r>
    </w:p>
    <w:p w14:paraId="44E8BDFB" w14:textId="77777777" w:rsidR="002F6814" w:rsidRPr="00412F9C" w:rsidRDefault="002F6814" w:rsidP="00475130">
      <w:pPr>
        <w:spacing w:line="276" w:lineRule="auto"/>
        <w:ind w:firstLine="567"/>
        <w:jc w:val="both"/>
        <w:rPr>
          <w:rFonts w:ascii="GHEA Grapalat" w:eastAsia="GHEA Grapalat" w:hAnsi="GHEA Grapalat" w:cs="GHEA Grapalat"/>
          <w:sz w:val="22"/>
          <w:szCs w:val="22"/>
        </w:rPr>
      </w:pPr>
      <w:bookmarkStart w:id="8" w:name="_GoBack"/>
      <w:bookmarkEnd w:id="8"/>
    </w:p>
    <w:p w14:paraId="22EE824C" w14:textId="77777777" w:rsidR="00475130" w:rsidRPr="00F71407" w:rsidRDefault="00475130" w:rsidP="006055E8">
      <w:pPr>
        <w:pStyle w:val="ListParagraph"/>
        <w:keepNext/>
        <w:keepLines/>
        <w:numPr>
          <w:ilvl w:val="0"/>
          <w:numId w:val="42"/>
        </w:numPr>
        <w:tabs>
          <w:tab w:val="left" w:pos="0"/>
          <w:tab w:val="left" w:pos="284"/>
          <w:tab w:val="left" w:pos="1134"/>
          <w:tab w:val="left" w:pos="1276"/>
          <w:tab w:val="left" w:pos="1418"/>
          <w:tab w:val="left" w:pos="1530"/>
          <w:tab w:val="left" w:pos="1888"/>
        </w:tabs>
        <w:autoSpaceDE w:val="0"/>
        <w:autoSpaceDN w:val="0"/>
        <w:adjustRightInd w:val="0"/>
        <w:spacing w:after="0"/>
        <w:ind w:left="0" w:firstLine="0"/>
        <w:jc w:val="both"/>
        <w:rPr>
          <w:rFonts w:ascii="GHEA Grapalat" w:eastAsia="GHEA Grapalat" w:hAnsi="GHEA Grapalat" w:cs="GHEA Grapalat"/>
          <w:b/>
          <w:sz w:val="18"/>
          <w:szCs w:val="18"/>
          <w:lang w:val="hy-AM"/>
        </w:rPr>
      </w:pPr>
      <w:r w:rsidRPr="00F71407">
        <w:rPr>
          <w:rFonts w:ascii="GHEA Grapalat" w:eastAsia="GHEA Grapalat" w:hAnsi="GHEA Grapalat" w:cs="GHEA Grapalat"/>
          <w:b/>
          <w:sz w:val="18"/>
          <w:szCs w:val="18"/>
          <w:lang w:val="hy-AM"/>
        </w:rPr>
        <w:lastRenderedPageBreak/>
        <w:t>ՀՀ այցելած զբոսաշրջիկների դինամիկան 2019թ., 2022-2026թթ. հունվար-</w:t>
      </w:r>
      <w:r>
        <w:rPr>
          <w:rFonts w:ascii="GHEA Grapalat" w:eastAsia="GHEA Grapalat" w:hAnsi="GHEA Grapalat" w:cs="GHEA Grapalat"/>
          <w:b/>
          <w:sz w:val="18"/>
          <w:szCs w:val="18"/>
          <w:lang w:val="hy-AM"/>
        </w:rPr>
        <w:t>հունիս</w:t>
      </w:r>
      <w:r w:rsidRPr="00F71407">
        <w:rPr>
          <w:rFonts w:ascii="GHEA Grapalat" w:eastAsia="GHEA Grapalat" w:hAnsi="GHEA Grapalat" w:cs="GHEA Grapalat"/>
          <w:b/>
          <w:sz w:val="18"/>
          <w:szCs w:val="18"/>
          <w:lang w:val="hy-AM"/>
        </w:rPr>
        <w:t xml:space="preserve">, հազար մարդ </w:t>
      </w:r>
    </w:p>
    <w:p w14:paraId="33096637" w14:textId="77777777" w:rsidR="00475130" w:rsidRPr="00345A1C" w:rsidRDefault="00475130" w:rsidP="00475130">
      <w:pPr>
        <w:spacing w:line="276" w:lineRule="auto"/>
        <w:jc w:val="both"/>
        <w:rPr>
          <w:rFonts w:ascii="GHEA Grapalat" w:eastAsia="GHEA Grapalat" w:hAnsi="GHEA Grapalat" w:cs="GHEA Grapalat"/>
          <w:i/>
          <w:sz w:val="22"/>
          <w:szCs w:val="22"/>
        </w:rPr>
      </w:pPr>
      <w:r w:rsidRPr="00345A1C">
        <w:rPr>
          <w:rFonts w:ascii="GHEA Grapalat" w:eastAsia="GHEA Grapalat" w:hAnsi="GHEA Grapalat" w:cs="GHEA Grapalat"/>
          <w:i/>
          <w:sz w:val="22"/>
          <w:szCs w:val="22"/>
          <w:lang w:val="en-US"/>
        </w:rPr>
        <w:drawing>
          <wp:inline distT="0" distB="0" distL="0" distR="0" wp14:anchorId="3A7B9235" wp14:editId="175A5B2C">
            <wp:extent cx="6496215" cy="2210435"/>
            <wp:effectExtent l="0" t="0" r="0" b="18415"/>
            <wp:docPr id="31" name="Char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AA32633" w14:textId="57B1E411" w:rsidR="00475130" w:rsidRDefault="00475130" w:rsidP="00475130">
      <w:pPr>
        <w:spacing w:line="276" w:lineRule="auto"/>
        <w:jc w:val="both"/>
        <w:rPr>
          <w:rFonts w:ascii="GHEA Grapalat" w:eastAsia="GHEA Grapalat" w:hAnsi="GHEA Grapalat" w:cs="GHEA Grapalat"/>
          <w:i/>
          <w:sz w:val="16"/>
          <w:szCs w:val="16"/>
        </w:rPr>
      </w:pPr>
      <w:r w:rsidRPr="00345A1C">
        <w:rPr>
          <w:rFonts w:ascii="GHEA Grapalat" w:eastAsia="GHEA Grapalat" w:hAnsi="GHEA Grapalat" w:cs="GHEA Grapalat"/>
          <w:i/>
          <w:sz w:val="16"/>
          <w:szCs w:val="16"/>
        </w:rPr>
        <w:t>Աղբյուրը՝ ՀՀ ՎԿ</w:t>
      </w:r>
    </w:p>
    <w:p w14:paraId="2D6257D9" w14:textId="77777777" w:rsidR="00915E8C" w:rsidRDefault="00915E8C" w:rsidP="0049287E">
      <w:pPr>
        <w:spacing w:line="276" w:lineRule="auto"/>
        <w:ind w:firstLine="567"/>
        <w:jc w:val="both"/>
        <w:rPr>
          <w:rFonts w:ascii="GHEA Grapalat" w:eastAsia="GHEA Grapalat" w:hAnsi="GHEA Grapalat" w:cs="GHEA Grapalat"/>
          <w:sz w:val="22"/>
          <w:szCs w:val="22"/>
        </w:rPr>
      </w:pPr>
    </w:p>
    <w:p w14:paraId="5E873691" w14:textId="47DABBC5" w:rsidR="000A721C" w:rsidRPr="00345A1C" w:rsidRDefault="000A721C" w:rsidP="0049287E">
      <w:pPr>
        <w:spacing w:line="276" w:lineRule="auto"/>
        <w:ind w:firstLine="567"/>
        <w:jc w:val="both"/>
        <w:rPr>
          <w:rFonts w:ascii="GHEA Grapalat" w:eastAsia="GHEA Grapalat" w:hAnsi="GHEA Grapalat" w:cs="GHEA Grapalat"/>
          <w:i/>
          <w:sz w:val="16"/>
          <w:szCs w:val="16"/>
        </w:rPr>
      </w:pPr>
      <w:r w:rsidRPr="005C63FA">
        <w:rPr>
          <w:rFonts w:ascii="GHEA Grapalat" w:eastAsia="GHEA Grapalat" w:hAnsi="GHEA Grapalat" w:cs="GHEA Grapalat"/>
          <w:sz w:val="22"/>
          <w:szCs w:val="22"/>
        </w:rPr>
        <w:t xml:space="preserve">ՀՀ-ից մեկնած զբոսաշրջիկների թվաքանակը կազմել է շուրջ </w:t>
      </w:r>
      <w:r>
        <w:rPr>
          <w:rFonts w:ascii="GHEA Grapalat" w:eastAsia="GHEA Grapalat" w:hAnsi="GHEA Grapalat" w:cs="GHEA Grapalat"/>
          <w:sz w:val="22"/>
          <w:szCs w:val="22"/>
        </w:rPr>
        <w:t>686</w:t>
      </w:r>
      <w:r w:rsidRPr="005C63FA">
        <w:rPr>
          <w:rFonts w:ascii="GHEA Grapalat" w:eastAsia="GHEA Grapalat" w:hAnsi="GHEA Grapalat" w:cs="GHEA Grapalat"/>
          <w:sz w:val="22"/>
          <w:szCs w:val="22"/>
        </w:rPr>
        <w:t xml:space="preserve"> հազար մարդ՝ նախորդ տարվա նույն ժամանակահատվածի նկատմամբ </w:t>
      </w:r>
      <w:r>
        <w:rPr>
          <w:rFonts w:ascii="GHEA Grapalat" w:eastAsia="GHEA Grapalat" w:hAnsi="GHEA Grapalat" w:cs="GHEA Grapalat"/>
          <w:sz w:val="22"/>
          <w:szCs w:val="22"/>
        </w:rPr>
        <w:t>նվազե</w:t>
      </w:r>
      <w:r w:rsidRPr="005C63FA">
        <w:rPr>
          <w:rFonts w:ascii="GHEA Grapalat" w:eastAsia="GHEA Grapalat" w:hAnsi="GHEA Grapalat" w:cs="GHEA Grapalat"/>
          <w:sz w:val="22"/>
          <w:szCs w:val="22"/>
        </w:rPr>
        <w:t xml:space="preserve">լով </w:t>
      </w:r>
      <w:r>
        <w:rPr>
          <w:rFonts w:ascii="GHEA Grapalat" w:eastAsia="GHEA Grapalat" w:hAnsi="GHEA Grapalat" w:cs="GHEA Grapalat"/>
          <w:sz w:val="22"/>
          <w:szCs w:val="22"/>
        </w:rPr>
        <w:t>8.3</w:t>
      </w:r>
      <w:r w:rsidRPr="005C63FA">
        <w:rPr>
          <w:rFonts w:ascii="GHEA Grapalat" w:eastAsia="GHEA Grapalat" w:hAnsi="GHEA Grapalat" w:cs="GHEA Grapalat"/>
          <w:sz w:val="22"/>
          <w:szCs w:val="22"/>
        </w:rPr>
        <w:t xml:space="preserve">%-ով (կամ շուրջ </w:t>
      </w:r>
      <w:r>
        <w:rPr>
          <w:rFonts w:ascii="GHEA Grapalat" w:eastAsia="GHEA Grapalat" w:hAnsi="GHEA Grapalat" w:cs="GHEA Grapalat"/>
          <w:sz w:val="22"/>
          <w:szCs w:val="22"/>
        </w:rPr>
        <w:t>62</w:t>
      </w:r>
      <w:r w:rsidRPr="005C63FA">
        <w:rPr>
          <w:rFonts w:ascii="GHEA Grapalat" w:eastAsia="GHEA Grapalat" w:hAnsi="GHEA Grapalat" w:cs="GHEA Grapalat"/>
          <w:sz w:val="22"/>
          <w:szCs w:val="22"/>
        </w:rPr>
        <w:t xml:space="preserve"> հազարով):</w:t>
      </w:r>
    </w:p>
    <w:p w14:paraId="1BE75A36" w14:textId="77777777" w:rsidR="00475130" w:rsidRDefault="00475130" w:rsidP="00475130">
      <w:pPr>
        <w:spacing w:line="276" w:lineRule="auto"/>
        <w:ind w:firstLine="567"/>
        <w:jc w:val="both"/>
        <w:rPr>
          <w:rFonts w:ascii="GHEA Grapalat" w:eastAsia="GHEA Grapalat" w:hAnsi="GHEA Grapalat" w:cs="GHEA Grapalat"/>
          <w:sz w:val="22"/>
          <w:szCs w:val="22"/>
        </w:rPr>
      </w:pPr>
      <w:r w:rsidRPr="00345A1C">
        <w:rPr>
          <w:rFonts w:ascii="GHEA Grapalat" w:eastAsia="GHEA Grapalat" w:hAnsi="GHEA Grapalat" w:cs="GHEA Grapalat"/>
          <w:b/>
          <w:i/>
          <w:sz w:val="22"/>
          <w:szCs w:val="22"/>
        </w:rPr>
        <w:t>Դրամական փոխանցումներ:</w:t>
      </w:r>
      <w:r>
        <w:rPr>
          <w:rFonts w:ascii="GHEA Grapalat" w:eastAsia="GHEA Grapalat" w:hAnsi="GHEA Grapalat" w:cs="GHEA Grapalat"/>
          <w:sz w:val="22"/>
          <w:szCs w:val="22"/>
        </w:rPr>
        <w:t xml:space="preserve"> 2026</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 հունվար-հունիս ամիսներին</w:t>
      </w:r>
      <w:r w:rsidRPr="00345A1C">
        <w:rPr>
          <w:rFonts w:ascii="GHEA Grapalat" w:eastAsia="GHEA Grapalat" w:hAnsi="GHEA Grapalat" w:cs="GHEA Grapalat"/>
          <w:sz w:val="22"/>
          <w:szCs w:val="22"/>
        </w:rPr>
        <w:t xml:space="preserve"> դեպի ՀՀ </w:t>
      </w:r>
      <w:r w:rsidRPr="009A2C04">
        <w:rPr>
          <w:rFonts w:ascii="GHEA Grapalat" w:eastAsia="GHEA Grapalat" w:hAnsi="GHEA Grapalat" w:cs="GHEA Grapalat"/>
          <w:sz w:val="22"/>
          <w:szCs w:val="22"/>
        </w:rPr>
        <w:t xml:space="preserve">ֆիզիկական անձանց </w:t>
      </w:r>
      <w:r>
        <w:rPr>
          <w:rFonts w:ascii="GHEA Grapalat" w:eastAsia="GHEA Grapalat" w:hAnsi="GHEA Grapalat" w:cs="GHEA Grapalat"/>
          <w:sz w:val="22"/>
          <w:szCs w:val="22"/>
        </w:rPr>
        <w:t xml:space="preserve">ոչ առևտրային բնույթի </w:t>
      </w:r>
      <w:r w:rsidRPr="00345A1C">
        <w:rPr>
          <w:rFonts w:ascii="GHEA Grapalat" w:eastAsia="GHEA Grapalat" w:hAnsi="GHEA Grapalat" w:cs="GHEA Grapalat"/>
          <w:sz w:val="22"/>
          <w:szCs w:val="22"/>
        </w:rPr>
        <w:t xml:space="preserve">դրամական փոխանցումների զուտ </w:t>
      </w:r>
      <w:r>
        <w:rPr>
          <w:rFonts w:ascii="GHEA Grapalat" w:eastAsia="GHEA Grapalat" w:hAnsi="GHEA Grapalat" w:cs="GHEA Grapalat"/>
          <w:sz w:val="22"/>
          <w:szCs w:val="22"/>
        </w:rPr>
        <w:t xml:space="preserve">ներհոսքն աճել է </w:t>
      </w:r>
      <w:r w:rsidRPr="00053232">
        <w:rPr>
          <w:rFonts w:ascii="GHEA Grapalat" w:eastAsia="GHEA Grapalat" w:hAnsi="GHEA Grapalat" w:cs="GHEA Grapalat"/>
          <w:sz w:val="22"/>
          <w:szCs w:val="22"/>
        </w:rPr>
        <w:t>21.7</w:t>
      </w:r>
      <w:r w:rsidRPr="000767A0">
        <w:rPr>
          <w:rFonts w:ascii="GHEA Grapalat" w:eastAsia="GHEA Grapalat" w:hAnsi="GHEA Grapalat" w:cs="GHEA Grapalat"/>
          <w:sz w:val="22"/>
          <w:szCs w:val="22"/>
        </w:rPr>
        <w:t>%</w:t>
      </w:r>
      <w:r>
        <w:rPr>
          <w:rFonts w:ascii="GHEA Grapalat" w:eastAsia="GHEA Grapalat" w:hAnsi="GHEA Grapalat" w:cs="GHEA Grapalat"/>
          <w:sz w:val="22"/>
          <w:szCs w:val="22"/>
        </w:rPr>
        <w:t>-ով, որին ամենամեծ նպաստումն է ուն</w:t>
      </w:r>
      <w:r w:rsidRPr="003D5FC7">
        <w:rPr>
          <w:rFonts w:ascii="GHEA Grapalat" w:eastAsia="GHEA Grapalat" w:hAnsi="GHEA Grapalat" w:cs="GHEA Grapalat"/>
          <w:sz w:val="22"/>
          <w:szCs w:val="22"/>
        </w:rPr>
        <w:t>ե</w:t>
      </w:r>
      <w:r>
        <w:rPr>
          <w:rFonts w:ascii="GHEA Grapalat" w:eastAsia="GHEA Grapalat" w:hAnsi="GHEA Grapalat" w:cs="GHEA Grapalat"/>
          <w:sz w:val="22"/>
          <w:szCs w:val="22"/>
        </w:rPr>
        <w:t>ցել</w:t>
      </w:r>
      <w:r w:rsidRPr="00345A1C">
        <w:rPr>
          <w:rFonts w:ascii="GHEA Grapalat" w:eastAsia="GHEA Grapalat" w:hAnsi="GHEA Grapalat" w:cs="GHEA Grapalat"/>
          <w:sz w:val="22"/>
          <w:szCs w:val="22"/>
        </w:rPr>
        <w:t xml:space="preserve"> ՌԴ-ից դրամական փոխանցումների </w:t>
      </w:r>
      <w:r>
        <w:rPr>
          <w:rFonts w:ascii="GHEA Grapalat" w:eastAsia="GHEA Grapalat" w:hAnsi="GHEA Grapalat" w:cs="GHEA Grapalat"/>
          <w:sz w:val="22"/>
          <w:szCs w:val="22"/>
        </w:rPr>
        <w:t xml:space="preserve">զուտ </w:t>
      </w:r>
      <w:r w:rsidRPr="00345A1C">
        <w:rPr>
          <w:rFonts w:ascii="GHEA Grapalat" w:eastAsia="GHEA Grapalat" w:hAnsi="GHEA Grapalat" w:cs="GHEA Grapalat"/>
          <w:sz w:val="22"/>
          <w:szCs w:val="22"/>
        </w:rPr>
        <w:t xml:space="preserve">ներհոսքի </w:t>
      </w:r>
      <w:r>
        <w:rPr>
          <w:rFonts w:ascii="GHEA Grapalat" w:eastAsia="GHEA Grapalat" w:hAnsi="GHEA Grapalat" w:cs="GHEA Grapalat"/>
          <w:sz w:val="22"/>
          <w:szCs w:val="22"/>
        </w:rPr>
        <w:t xml:space="preserve">աճը՝ </w:t>
      </w:r>
      <w:r w:rsidRPr="00053232">
        <w:rPr>
          <w:rFonts w:ascii="GHEA Grapalat" w:eastAsia="GHEA Grapalat" w:hAnsi="GHEA Grapalat" w:cs="GHEA Grapalat"/>
          <w:sz w:val="22"/>
          <w:szCs w:val="22"/>
        </w:rPr>
        <w:t>17.8</w:t>
      </w:r>
      <w:r>
        <w:rPr>
          <w:rFonts w:ascii="GHEA Grapalat" w:eastAsia="GHEA Grapalat" w:hAnsi="GHEA Grapalat" w:cs="GHEA Grapalat"/>
          <w:sz w:val="22"/>
          <w:szCs w:val="22"/>
        </w:rPr>
        <w:t xml:space="preserve"> տոկոսային կետ: 2026</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հունվար</w:t>
      </w:r>
      <w:r w:rsidRPr="00053232">
        <w:rPr>
          <w:rFonts w:ascii="GHEA Grapalat" w:eastAsia="GHEA Grapalat" w:hAnsi="GHEA Grapalat" w:cs="GHEA Grapalat"/>
          <w:sz w:val="22"/>
          <w:szCs w:val="22"/>
        </w:rPr>
        <w:t>-</w:t>
      </w:r>
      <w:r>
        <w:rPr>
          <w:rFonts w:ascii="GHEA Grapalat" w:eastAsia="GHEA Grapalat" w:hAnsi="GHEA Grapalat" w:cs="GHEA Grapalat"/>
          <w:sz w:val="22"/>
          <w:szCs w:val="22"/>
        </w:rPr>
        <w:t xml:space="preserve">հունիս ամիսներին </w:t>
      </w:r>
      <w:r w:rsidRPr="00345A1C">
        <w:rPr>
          <w:rFonts w:ascii="GHEA Grapalat" w:eastAsia="GHEA Grapalat" w:hAnsi="GHEA Grapalat" w:cs="GHEA Grapalat"/>
          <w:sz w:val="22"/>
          <w:szCs w:val="22"/>
        </w:rPr>
        <w:t xml:space="preserve">դրամական փոխանցումների զուտ ներհոսքը կազմել </w:t>
      </w:r>
      <w:r>
        <w:rPr>
          <w:rFonts w:ascii="GHEA Grapalat" w:eastAsia="GHEA Grapalat" w:hAnsi="GHEA Grapalat" w:cs="GHEA Grapalat"/>
          <w:sz w:val="22"/>
          <w:szCs w:val="22"/>
        </w:rPr>
        <w:t>է</w:t>
      </w:r>
      <w:r w:rsidRPr="00345A1C">
        <w:rPr>
          <w:rFonts w:ascii="GHEA Grapalat" w:eastAsia="GHEA Grapalat" w:hAnsi="GHEA Grapalat" w:cs="GHEA Grapalat"/>
          <w:sz w:val="22"/>
          <w:szCs w:val="22"/>
        </w:rPr>
        <w:t xml:space="preserve"> շուրջ </w:t>
      </w:r>
      <w:r>
        <w:rPr>
          <w:rFonts w:ascii="GHEA Grapalat" w:eastAsia="GHEA Grapalat" w:hAnsi="GHEA Grapalat" w:cs="GHEA Grapalat"/>
          <w:sz w:val="22"/>
          <w:szCs w:val="22"/>
        </w:rPr>
        <w:t>380 մլն դոլար:</w:t>
      </w:r>
    </w:p>
    <w:p w14:paraId="59DC6EC3" w14:textId="77777777" w:rsidR="009F1651" w:rsidRDefault="009F1651" w:rsidP="00F90103">
      <w:pPr>
        <w:spacing w:line="276" w:lineRule="auto"/>
        <w:ind w:firstLine="567"/>
        <w:jc w:val="both"/>
        <w:rPr>
          <w:rFonts w:ascii="GHEA Grapalat" w:eastAsia="GHEA Grapalat" w:hAnsi="GHEA Grapalat" w:cs="GHEA Grapalat"/>
          <w:sz w:val="22"/>
          <w:szCs w:val="22"/>
        </w:rPr>
      </w:pPr>
    </w:p>
    <w:p w14:paraId="43E8BD85" w14:textId="77777777" w:rsidR="007A1368" w:rsidRPr="007E513A" w:rsidRDefault="007A1368" w:rsidP="007E513A">
      <w:pPr>
        <w:pStyle w:val="Heading4"/>
        <w:numPr>
          <w:ilvl w:val="3"/>
          <w:numId w:val="43"/>
        </w:numPr>
        <w:ind w:left="567" w:firstLine="0"/>
        <w:rPr>
          <w:i w:val="0"/>
        </w:rPr>
      </w:pPr>
      <w:r w:rsidRPr="007E513A">
        <w:rPr>
          <w:i w:val="0"/>
        </w:rPr>
        <w:t>Արժութային շուկա և փոխարժեքներ</w:t>
      </w:r>
    </w:p>
    <w:p w14:paraId="61CA8F74" w14:textId="40792C3B" w:rsidR="00D24FA0" w:rsidRDefault="00D24FA0" w:rsidP="00915E8C">
      <w:pPr>
        <w:spacing w:line="276" w:lineRule="auto"/>
        <w:ind w:firstLine="567"/>
        <w:jc w:val="both"/>
        <w:rPr>
          <w:rFonts w:ascii="GHEA Grapalat" w:hAnsi="GHEA Grapalat"/>
          <w:sz w:val="22"/>
          <w:szCs w:val="22"/>
        </w:rPr>
      </w:pPr>
      <w:r w:rsidRPr="00912827">
        <w:rPr>
          <w:rFonts w:ascii="GHEA Grapalat" w:hAnsi="GHEA Grapalat" w:cs="GHEA Grapalat"/>
          <w:b/>
          <w:i/>
          <w:sz w:val="22"/>
          <w:szCs w:val="22"/>
        </w:rPr>
        <w:t>Ֆիզիկական անձանց փոխանցումներ։</w:t>
      </w:r>
      <w:r w:rsidRPr="00663CE3">
        <w:rPr>
          <w:rFonts w:ascii="GHEA Grapalat" w:hAnsi="GHEA Grapalat" w:cs="GHEA Grapalat"/>
          <w:b/>
          <w:i/>
          <w:sz w:val="22"/>
          <w:szCs w:val="22"/>
        </w:rPr>
        <w:t xml:space="preserve"> </w:t>
      </w:r>
      <w:r w:rsidRPr="00663CE3">
        <w:rPr>
          <w:rFonts w:ascii="GHEA Grapalat" w:hAnsi="GHEA Grapalat"/>
          <w:sz w:val="22"/>
          <w:szCs w:val="22"/>
        </w:rPr>
        <w:t>Դեպի ՀՀ ֆիզիկակա</w:t>
      </w:r>
      <w:r>
        <w:rPr>
          <w:rFonts w:ascii="GHEA Grapalat" w:hAnsi="GHEA Grapalat"/>
          <w:sz w:val="22"/>
          <w:szCs w:val="22"/>
        </w:rPr>
        <w:t>ն անձանց զուտ փոխանցումները 202</w:t>
      </w:r>
      <w:r w:rsidRPr="007548A6">
        <w:rPr>
          <w:rFonts w:ascii="GHEA Grapalat" w:hAnsi="GHEA Grapalat"/>
          <w:sz w:val="22"/>
          <w:szCs w:val="22"/>
          <w:lang w:val="de-AT"/>
        </w:rPr>
        <w:t>6</w:t>
      </w:r>
      <w:r w:rsidR="00D6557B">
        <w:rPr>
          <w:rFonts w:ascii="GHEA Grapalat" w:hAnsi="GHEA Grapalat"/>
          <w:sz w:val="22"/>
          <w:szCs w:val="22"/>
        </w:rPr>
        <w:t>թ. առաջին կիսամյակում</w:t>
      </w:r>
      <w:r w:rsidR="00D6557B" w:rsidRPr="00D6557B">
        <w:rPr>
          <w:rFonts w:ascii="GHEA Grapalat" w:hAnsi="GHEA Grapalat"/>
          <w:sz w:val="22"/>
          <w:szCs w:val="22"/>
        </w:rPr>
        <w:t xml:space="preserve"> </w:t>
      </w:r>
      <w:r w:rsidR="00D6557B">
        <w:rPr>
          <w:rFonts w:ascii="GHEA Grapalat" w:hAnsi="GHEA Grapalat"/>
          <w:sz w:val="22"/>
          <w:szCs w:val="22"/>
        </w:rPr>
        <w:t xml:space="preserve">աճել են </w:t>
      </w:r>
      <w:r w:rsidRPr="00663CE3">
        <w:rPr>
          <w:rFonts w:ascii="GHEA Grapalat" w:hAnsi="GHEA Grapalat"/>
          <w:sz w:val="22"/>
          <w:szCs w:val="22"/>
        </w:rPr>
        <w:t xml:space="preserve">նախորդ տարվա համապատասխան ժամանակահատվածի համեմատ։ ՀՀ բանկերի միջոցով ֆիզիկական անձանց անունով արտերկրից մուտք եղած և ՀՀ-ից արտերկիր կատարված առևտրային և ոչ առևտրային նպատակով </w:t>
      </w:r>
      <w:r>
        <w:rPr>
          <w:rFonts w:ascii="GHEA Grapalat" w:hAnsi="GHEA Grapalat"/>
          <w:sz w:val="22"/>
          <w:szCs w:val="22"/>
        </w:rPr>
        <w:t>զուտ փոխանցումները 202</w:t>
      </w:r>
      <w:r w:rsidRPr="007548A6">
        <w:rPr>
          <w:rFonts w:ascii="GHEA Grapalat" w:hAnsi="GHEA Grapalat"/>
          <w:sz w:val="22"/>
          <w:szCs w:val="22"/>
        </w:rPr>
        <w:t>6</w:t>
      </w:r>
      <w:r w:rsidRPr="00663CE3">
        <w:rPr>
          <w:rFonts w:ascii="GHEA Grapalat" w:hAnsi="GHEA Grapalat"/>
          <w:sz w:val="22"/>
          <w:szCs w:val="22"/>
        </w:rPr>
        <w:t xml:space="preserve">թ. առաջին կիսամյակի դրությամբ կազմել </w:t>
      </w:r>
      <w:r w:rsidRPr="006A7DA0">
        <w:rPr>
          <w:rFonts w:ascii="GHEA Grapalat" w:hAnsi="GHEA Grapalat"/>
          <w:sz w:val="22"/>
          <w:szCs w:val="22"/>
        </w:rPr>
        <w:t>են</w:t>
      </w:r>
      <w:r w:rsidRPr="00663CE3">
        <w:rPr>
          <w:rFonts w:ascii="GHEA Grapalat" w:hAnsi="GHEA Grapalat"/>
          <w:sz w:val="22"/>
          <w:szCs w:val="22"/>
        </w:rPr>
        <w:t xml:space="preserve"> </w:t>
      </w:r>
      <w:r w:rsidR="00D6557B" w:rsidRPr="00D6557B">
        <w:rPr>
          <w:rFonts w:ascii="GHEA Grapalat" w:hAnsi="GHEA Grapalat"/>
          <w:sz w:val="22"/>
          <w:szCs w:val="22"/>
        </w:rPr>
        <w:t>1</w:t>
      </w:r>
      <w:r w:rsidR="00912827" w:rsidRPr="00912827">
        <w:rPr>
          <w:rFonts w:ascii="GHEA Grapalat" w:hAnsi="GHEA Grapalat"/>
          <w:sz w:val="22"/>
          <w:szCs w:val="22"/>
        </w:rPr>
        <w:t>,</w:t>
      </w:r>
      <w:r w:rsidR="00D6557B" w:rsidRPr="00D6557B">
        <w:rPr>
          <w:rFonts w:ascii="GHEA Grapalat" w:hAnsi="GHEA Grapalat"/>
          <w:sz w:val="22"/>
          <w:szCs w:val="22"/>
        </w:rPr>
        <w:t>377.4</w:t>
      </w:r>
      <w:r w:rsidRPr="00663CE3">
        <w:rPr>
          <w:rFonts w:ascii="GHEA Grapalat" w:hAnsi="GHEA Grapalat"/>
          <w:sz w:val="22"/>
          <w:szCs w:val="22"/>
        </w:rPr>
        <w:t xml:space="preserve"> մլն դոլար՝ </w:t>
      </w:r>
      <w:r w:rsidRPr="00663CE3">
        <w:rPr>
          <w:rFonts w:ascii="GHEA Grapalat" w:eastAsia="GHEA Grapalat" w:hAnsi="GHEA Grapalat" w:cs="GHEA Grapalat"/>
          <w:bCs/>
          <w:sz w:val="22"/>
          <w:szCs w:val="22"/>
        </w:rPr>
        <w:t>նախորդ տարվա նույն ժամանակահատվածի համեմատ արձանագրելով</w:t>
      </w:r>
      <w:r>
        <w:rPr>
          <w:rFonts w:ascii="GHEA Grapalat" w:eastAsia="GHEA Grapalat" w:hAnsi="GHEA Grapalat" w:cs="GHEA Grapalat"/>
          <w:bCs/>
          <w:sz w:val="22"/>
          <w:szCs w:val="22"/>
        </w:rPr>
        <w:t xml:space="preserve"> </w:t>
      </w:r>
      <w:r w:rsidR="00D6557B" w:rsidRPr="00D6557B">
        <w:rPr>
          <w:rFonts w:ascii="GHEA Grapalat" w:eastAsia="GHEA Grapalat" w:hAnsi="GHEA Grapalat" w:cs="GHEA Grapalat"/>
          <w:bCs/>
          <w:sz w:val="22"/>
          <w:szCs w:val="22"/>
        </w:rPr>
        <w:t>2</w:t>
      </w:r>
      <w:r>
        <w:rPr>
          <w:rFonts w:ascii="GHEA Grapalat" w:eastAsia="GHEA Grapalat" w:hAnsi="GHEA Grapalat" w:cs="GHEA Grapalat"/>
          <w:bCs/>
          <w:sz w:val="22"/>
          <w:szCs w:val="22"/>
        </w:rPr>
        <w:t>.</w:t>
      </w:r>
      <w:r w:rsidRPr="006A7DA0">
        <w:rPr>
          <w:rFonts w:ascii="GHEA Grapalat" w:eastAsia="GHEA Grapalat" w:hAnsi="GHEA Grapalat" w:cs="GHEA Grapalat"/>
          <w:bCs/>
          <w:sz w:val="22"/>
          <w:szCs w:val="22"/>
        </w:rPr>
        <w:t>3</w:t>
      </w:r>
      <w:r w:rsidR="00D6557B" w:rsidRPr="00D6557B">
        <w:rPr>
          <w:rFonts w:ascii="GHEA Grapalat" w:eastAsia="GHEA Grapalat" w:hAnsi="GHEA Grapalat" w:cs="GHEA Grapalat"/>
          <w:bCs/>
          <w:sz w:val="22"/>
          <w:szCs w:val="22"/>
        </w:rPr>
        <w:t xml:space="preserve"> </w:t>
      </w:r>
      <w:r w:rsidR="00D6557B">
        <w:rPr>
          <w:rFonts w:ascii="GHEA Grapalat" w:eastAsia="GHEA Grapalat" w:hAnsi="GHEA Grapalat" w:cs="GHEA Grapalat"/>
          <w:bCs/>
          <w:sz w:val="22"/>
          <w:szCs w:val="22"/>
        </w:rPr>
        <w:t>անգամ աճ</w:t>
      </w:r>
      <w:r w:rsidRPr="00663CE3">
        <w:rPr>
          <w:rFonts w:ascii="GHEA Grapalat" w:hAnsi="GHEA Grapalat"/>
          <w:sz w:val="22"/>
          <w:szCs w:val="22"/>
        </w:rPr>
        <w:t>: Ընդ որու</w:t>
      </w:r>
      <w:r>
        <w:rPr>
          <w:rFonts w:ascii="GHEA Grapalat" w:hAnsi="GHEA Grapalat"/>
          <w:sz w:val="22"/>
          <w:szCs w:val="22"/>
        </w:rPr>
        <w:t>մ, ՌԴ-ից զուտ փոխանցումները 202</w:t>
      </w:r>
      <w:r w:rsidRPr="007548A6">
        <w:rPr>
          <w:rFonts w:ascii="GHEA Grapalat" w:hAnsi="GHEA Grapalat"/>
          <w:sz w:val="22"/>
          <w:szCs w:val="22"/>
        </w:rPr>
        <w:t>6</w:t>
      </w:r>
      <w:r w:rsidRPr="00663CE3">
        <w:rPr>
          <w:rFonts w:ascii="GHEA Grapalat" w:hAnsi="GHEA Grapalat"/>
          <w:sz w:val="22"/>
          <w:szCs w:val="22"/>
        </w:rPr>
        <w:t xml:space="preserve">թ. առաջին կիսամյակում կազմել են </w:t>
      </w:r>
      <w:r w:rsidR="00912827" w:rsidRPr="00912827">
        <w:rPr>
          <w:rFonts w:ascii="GHEA Grapalat" w:hAnsi="GHEA Grapalat"/>
          <w:sz w:val="22"/>
          <w:szCs w:val="22"/>
        </w:rPr>
        <w:t>2</w:t>
      </w:r>
      <w:r w:rsidRPr="00061D61">
        <w:rPr>
          <w:rFonts w:ascii="GHEA Grapalat" w:hAnsi="GHEA Grapalat"/>
          <w:sz w:val="22"/>
          <w:szCs w:val="22"/>
        </w:rPr>
        <w:t>,</w:t>
      </w:r>
      <w:r w:rsidR="00912827" w:rsidRPr="00912827">
        <w:rPr>
          <w:rFonts w:ascii="GHEA Grapalat" w:hAnsi="GHEA Grapalat"/>
          <w:sz w:val="22"/>
          <w:szCs w:val="22"/>
        </w:rPr>
        <w:t>121</w:t>
      </w:r>
      <w:r>
        <w:rPr>
          <w:rFonts w:ascii="GHEA Grapalat" w:hAnsi="GHEA Grapalat"/>
          <w:sz w:val="22"/>
          <w:szCs w:val="22"/>
        </w:rPr>
        <w:t>.</w:t>
      </w:r>
      <w:r w:rsidR="00912827" w:rsidRPr="00912827">
        <w:rPr>
          <w:rFonts w:ascii="GHEA Grapalat" w:hAnsi="GHEA Grapalat"/>
          <w:sz w:val="22"/>
          <w:szCs w:val="22"/>
        </w:rPr>
        <w:t>7</w:t>
      </w:r>
      <w:r w:rsidRPr="00663CE3">
        <w:rPr>
          <w:rFonts w:ascii="GHEA Grapalat" w:hAnsi="GHEA Grapalat"/>
          <w:sz w:val="22"/>
          <w:szCs w:val="22"/>
        </w:rPr>
        <w:t xml:space="preserve"> մլն դոլար՝ նախորդ</w:t>
      </w:r>
      <w:r>
        <w:rPr>
          <w:rFonts w:ascii="GHEA Grapalat" w:hAnsi="GHEA Grapalat"/>
          <w:sz w:val="22"/>
          <w:szCs w:val="22"/>
        </w:rPr>
        <w:t xml:space="preserve"> տարվա</w:t>
      </w:r>
      <w:r w:rsidRPr="00663CE3">
        <w:rPr>
          <w:rFonts w:ascii="GHEA Grapalat" w:hAnsi="GHEA Grapalat"/>
          <w:sz w:val="22"/>
          <w:szCs w:val="22"/>
        </w:rPr>
        <w:t xml:space="preserve"> </w:t>
      </w:r>
      <w:r w:rsidRPr="00663CE3">
        <w:rPr>
          <w:rFonts w:ascii="GHEA Grapalat" w:eastAsia="GHEA Grapalat" w:hAnsi="GHEA Grapalat" w:cs="GHEA Grapalat"/>
          <w:bCs/>
          <w:sz w:val="22"/>
          <w:szCs w:val="22"/>
        </w:rPr>
        <w:t xml:space="preserve">նույն </w:t>
      </w:r>
      <w:r w:rsidRPr="00915E8C">
        <w:rPr>
          <w:rFonts w:ascii="GHEA Grapalat" w:eastAsia="GHEA Grapalat" w:hAnsi="GHEA Grapalat" w:cs="GHEA Grapalat"/>
          <w:sz w:val="22"/>
          <w:szCs w:val="22"/>
        </w:rPr>
        <w:t>ժամանակահատվածի</w:t>
      </w:r>
      <w:r w:rsidRPr="00663CE3">
        <w:rPr>
          <w:rFonts w:ascii="GHEA Grapalat" w:eastAsia="GHEA Grapalat" w:hAnsi="GHEA Grapalat" w:cs="GHEA Grapalat"/>
          <w:bCs/>
          <w:sz w:val="22"/>
          <w:szCs w:val="22"/>
        </w:rPr>
        <w:t xml:space="preserve"> </w:t>
      </w:r>
      <w:r>
        <w:rPr>
          <w:rFonts w:ascii="GHEA Grapalat" w:hAnsi="GHEA Grapalat"/>
          <w:sz w:val="22"/>
          <w:szCs w:val="22"/>
        </w:rPr>
        <w:t xml:space="preserve">համեմատ աճելով շուրջ </w:t>
      </w:r>
      <w:r w:rsidR="00912827" w:rsidRPr="00912827">
        <w:rPr>
          <w:rFonts w:ascii="GHEA Grapalat" w:hAnsi="GHEA Grapalat"/>
          <w:sz w:val="22"/>
          <w:szCs w:val="22"/>
        </w:rPr>
        <w:t>48</w:t>
      </w:r>
      <w:r w:rsidRPr="00663CE3">
        <w:rPr>
          <w:rFonts w:ascii="GHEA Grapalat" w:hAnsi="GHEA Grapalat"/>
          <w:sz w:val="22"/>
          <w:szCs w:val="22"/>
        </w:rPr>
        <w:t>%-ով։ 2022թ. երկրորդ կիսամյակից սկիզբ առած</w:t>
      </w:r>
      <w:r w:rsidRPr="00061D61">
        <w:rPr>
          <w:rFonts w:ascii="GHEA Grapalat" w:hAnsi="GHEA Grapalat"/>
          <w:sz w:val="22"/>
          <w:szCs w:val="22"/>
        </w:rPr>
        <w:t>՝</w:t>
      </w:r>
      <w:r w:rsidRPr="00663CE3">
        <w:rPr>
          <w:rFonts w:ascii="GHEA Grapalat" w:hAnsi="GHEA Grapalat"/>
          <w:sz w:val="22"/>
          <w:szCs w:val="22"/>
        </w:rPr>
        <w:t xml:space="preserve"> այլ երկրներ արտահոսքի ցուցանիշը գերազանցել է ներհոսքինը՝ հանգեցնելով դեպի այլ երկրներ փոխանցումների բացասական զուտ ներհոսքի:</w:t>
      </w:r>
    </w:p>
    <w:p w14:paraId="781CB2E0" w14:textId="67EC1BC9" w:rsidR="00D24FA0" w:rsidRPr="0049287E" w:rsidRDefault="00D24FA0" w:rsidP="00EC0288">
      <w:pPr>
        <w:pStyle w:val="ListParagraph"/>
        <w:keepNext/>
        <w:keepLines/>
        <w:numPr>
          <w:ilvl w:val="0"/>
          <w:numId w:val="42"/>
        </w:numPr>
        <w:tabs>
          <w:tab w:val="left" w:pos="0"/>
          <w:tab w:val="left" w:pos="284"/>
          <w:tab w:val="left" w:pos="1134"/>
          <w:tab w:val="left" w:pos="1276"/>
          <w:tab w:val="left" w:pos="1418"/>
          <w:tab w:val="left" w:pos="1530"/>
          <w:tab w:val="left" w:pos="1888"/>
        </w:tabs>
        <w:autoSpaceDE w:val="0"/>
        <w:autoSpaceDN w:val="0"/>
        <w:adjustRightInd w:val="0"/>
        <w:spacing w:after="0"/>
        <w:ind w:left="0" w:firstLine="0"/>
        <w:rPr>
          <w:rFonts w:ascii="GHEA Grapalat" w:eastAsia="GHEA Grapalat" w:hAnsi="GHEA Grapalat" w:cs="GHEA Grapalat"/>
          <w:b/>
          <w:sz w:val="18"/>
          <w:szCs w:val="18"/>
          <w:lang w:val="hy-AM"/>
        </w:rPr>
      </w:pPr>
      <w:r w:rsidRPr="0049287E">
        <w:rPr>
          <w:rFonts w:ascii="GHEA Grapalat" w:eastAsia="GHEA Grapalat" w:hAnsi="GHEA Grapalat" w:cs="GHEA Grapalat"/>
          <w:b/>
          <w:sz w:val="18"/>
          <w:szCs w:val="18"/>
          <w:lang w:val="hy-AM"/>
        </w:rPr>
        <w:lastRenderedPageBreak/>
        <w:t>ՀՀ բանկերի միջոցով ֆիզիկական անձանց անունով արտերկրներից մուտք եղած և ՀՀ-ից</w:t>
      </w:r>
      <w:r w:rsidR="000067AD">
        <w:rPr>
          <w:rFonts w:ascii="GHEA Grapalat" w:eastAsia="GHEA Grapalat" w:hAnsi="GHEA Grapalat" w:cs="GHEA Grapalat"/>
          <w:b/>
          <w:sz w:val="18"/>
          <w:szCs w:val="18"/>
          <w:lang w:val="hy-AM"/>
        </w:rPr>
        <w:t xml:space="preserve"> </w:t>
      </w:r>
      <w:r w:rsidRPr="0049287E">
        <w:rPr>
          <w:rFonts w:ascii="GHEA Grapalat" w:eastAsia="GHEA Grapalat" w:hAnsi="GHEA Grapalat" w:cs="GHEA Grapalat"/>
          <w:b/>
          <w:sz w:val="18"/>
          <w:szCs w:val="18"/>
          <w:lang w:val="hy-AM"/>
        </w:rPr>
        <w:t>ֆիզիկական անձանց կողմից արտերկիր կատարված զուտ փոխանցումներ, մլն ԱՄՆ դոլա</w:t>
      </w:r>
      <w:r w:rsidR="000067AD">
        <w:rPr>
          <w:rFonts w:ascii="GHEA Grapalat" w:eastAsia="GHEA Grapalat" w:hAnsi="GHEA Grapalat" w:cs="GHEA Grapalat"/>
          <w:b/>
          <w:sz w:val="18"/>
          <w:szCs w:val="18"/>
          <w:lang w:val="hy-AM"/>
        </w:rPr>
        <w:t>ր</w:t>
      </w:r>
    </w:p>
    <w:p w14:paraId="00073DC1" w14:textId="77777777" w:rsidR="00D24FA0" w:rsidRPr="00663CE3" w:rsidRDefault="00D24FA0" w:rsidP="00D24FA0">
      <w:pPr>
        <w:spacing w:line="276" w:lineRule="auto"/>
        <w:jc w:val="both"/>
        <w:rPr>
          <w:rFonts w:ascii="GHEA Grapalat" w:eastAsia="GHEA Grapalat" w:hAnsi="GHEA Grapalat"/>
          <w:b/>
          <w:sz w:val="22"/>
          <w:szCs w:val="22"/>
        </w:rPr>
      </w:pPr>
      <w:r>
        <w:rPr>
          <w:rFonts w:ascii="GHEA Grapalat" w:hAnsi="GHEA Grapalat" w:cs="Sylfaen"/>
          <w:i/>
          <w:sz w:val="16"/>
          <w:szCs w:val="16"/>
          <w:lang w:val="en-US"/>
        </w:rPr>
        <w:drawing>
          <wp:inline distT="0" distB="0" distL="0" distR="0" wp14:anchorId="15A38915" wp14:editId="7879F2F8">
            <wp:extent cx="6480313" cy="2609850"/>
            <wp:effectExtent l="0" t="0" r="1587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0D8CAB0" w14:textId="77777777" w:rsidR="00D24FA0" w:rsidRPr="00445382" w:rsidRDefault="00D24FA0" w:rsidP="00D24FA0">
      <w:pPr>
        <w:spacing w:line="276" w:lineRule="auto"/>
        <w:jc w:val="both"/>
        <w:rPr>
          <w:rFonts w:ascii="GHEA Grapalat" w:eastAsia="GHEA Grapalat" w:hAnsi="GHEA Grapalat" w:cs="GHEA Grapalat"/>
          <w:b/>
          <w:i/>
          <w:sz w:val="16"/>
          <w:szCs w:val="16"/>
        </w:rPr>
      </w:pPr>
      <w:r w:rsidRPr="00663CE3">
        <w:rPr>
          <w:rFonts w:ascii="GHEA Grapalat" w:hAnsi="GHEA Grapalat" w:cs="Sylfaen"/>
          <w:i/>
          <w:sz w:val="16"/>
          <w:szCs w:val="16"/>
        </w:rPr>
        <w:t>Աղբյուրը՝ ՀՀ ԿԲ, ՀՀ ՖՆ հաշվարկներ</w:t>
      </w:r>
    </w:p>
    <w:p w14:paraId="07E496E9" w14:textId="77777777" w:rsidR="00D24FA0" w:rsidRPr="00F51E90" w:rsidRDefault="00D24FA0" w:rsidP="00D24FA0">
      <w:pPr>
        <w:spacing w:line="276" w:lineRule="auto"/>
        <w:ind w:firstLine="567"/>
        <w:jc w:val="both"/>
        <w:rPr>
          <w:rFonts w:ascii="GHEA Grapalat" w:eastAsia="GHEA Grapalat" w:hAnsi="GHEA Grapalat" w:cs="GHEA Grapalat"/>
          <w:bCs/>
          <w:sz w:val="22"/>
          <w:szCs w:val="22"/>
        </w:rPr>
      </w:pPr>
    </w:p>
    <w:p w14:paraId="677E2901" w14:textId="16F86B6B" w:rsidR="00D24FA0" w:rsidRDefault="00D24FA0" w:rsidP="00D24FA0">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 xml:space="preserve">Արժութային շուկա։ </w:t>
      </w:r>
      <w:r w:rsidRPr="00345A1C">
        <w:rPr>
          <w:rFonts w:ascii="GHEA Grapalat" w:hAnsi="GHEA Grapalat"/>
          <w:sz w:val="22"/>
          <w:szCs w:val="22"/>
        </w:rPr>
        <w:t>ՀՀ արժութային շուկայի շրջանառության ծավալները 202</w:t>
      </w:r>
      <w:r>
        <w:rPr>
          <w:rFonts w:ascii="GHEA Grapalat" w:hAnsi="GHEA Grapalat"/>
          <w:sz w:val="22"/>
          <w:szCs w:val="22"/>
        </w:rPr>
        <w:t>6</w:t>
      </w:r>
      <w:r w:rsidRPr="00345A1C">
        <w:rPr>
          <w:rFonts w:ascii="GHEA Grapalat" w:hAnsi="GHEA Grapalat"/>
          <w:sz w:val="22"/>
          <w:szCs w:val="22"/>
        </w:rPr>
        <w:t>թ</w:t>
      </w:r>
      <w:r>
        <w:rPr>
          <w:rFonts w:ascii="GHEA Grapalat" w:hAnsi="GHEA Grapalat"/>
          <w:sz w:val="22"/>
          <w:szCs w:val="22"/>
        </w:rPr>
        <w:t>. առաջին կիսամյակում նախորդ տարվա նույն ժամանակահատվածի նկատմամբ շարունակում են նվազել։</w:t>
      </w:r>
      <w:r w:rsidRPr="00345A1C">
        <w:rPr>
          <w:rFonts w:ascii="GHEA Grapalat" w:hAnsi="GHEA Grapalat"/>
          <w:sz w:val="22"/>
          <w:szCs w:val="22"/>
        </w:rPr>
        <w:t xml:space="preserve"> </w:t>
      </w:r>
      <w:r>
        <w:rPr>
          <w:rFonts w:ascii="GHEA Grapalat" w:eastAsia="GHEA Grapalat" w:hAnsi="GHEA Grapalat" w:cs="GHEA Grapalat"/>
          <w:bCs/>
          <w:sz w:val="22"/>
          <w:szCs w:val="22"/>
        </w:rPr>
        <w:t>2026</w:t>
      </w:r>
      <w:r w:rsidRPr="00921AF2">
        <w:rPr>
          <w:rFonts w:ascii="GHEA Grapalat" w:eastAsia="GHEA Grapalat" w:hAnsi="GHEA Grapalat" w:cs="GHEA Grapalat"/>
          <w:bCs/>
          <w:sz w:val="22"/>
          <w:szCs w:val="22"/>
        </w:rPr>
        <w:t>թ</w:t>
      </w:r>
      <w:r w:rsidRPr="00747C56">
        <w:rPr>
          <w:rFonts w:eastAsia="GHEA Grapalat"/>
          <w:bCs/>
          <w:sz w:val="22"/>
          <w:szCs w:val="22"/>
        </w:rPr>
        <w:t>.</w:t>
      </w:r>
      <w:r w:rsidRPr="00921AF2">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 xml:space="preserve">առաջին </w:t>
      </w:r>
      <w:r w:rsidRPr="00915E8C">
        <w:rPr>
          <w:rFonts w:ascii="GHEA Grapalat" w:hAnsi="GHEA Grapalat"/>
          <w:sz w:val="22"/>
          <w:szCs w:val="22"/>
        </w:rPr>
        <w:t>կիսամյակում</w:t>
      </w:r>
      <w:r w:rsidRPr="00921AF2">
        <w:rPr>
          <w:rFonts w:ascii="GHEA Grapalat" w:eastAsia="GHEA Grapalat" w:hAnsi="GHEA Grapalat" w:cs="GHEA Grapalat"/>
          <w:bCs/>
          <w:sz w:val="22"/>
          <w:szCs w:val="22"/>
        </w:rPr>
        <w:t xml:space="preserve"> արտարժույթի ներբանկային առքը գերազանցել է վաճառքի </w:t>
      </w:r>
      <w:r>
        <w:rPr>
          <w:rFonts w:ascii="GHEA Grapalat" w:eastAsia="GHEA Grapalat" w:hAnsi="GHEA Grapalat" w:cs="GHEA Grapalat"/>
          <w:bCs/>
          <w:sz w:val="22"/>
          <w:szCs w:val="22"/>
        </w:rPr>
        <w:t xml:space="preserve">ծավալները։ Թեև դոլարի և եվրոյի վաճառքը գերազանցել է առքի ծավալները, ռուբլու առքը գերազանցել է վաճառքի ծավալները։ Արդյունքում </w:t>
      </w:r>
      <w:r w:rsidRPr="00345A1C">
        <w:rPr>
          <w:rFonts w:ascii="GHEA Grapalat" w:hAnsi="GHEA Grapalat"/>
          <w:sz w:val="22"/>
          <w:szCs w:val="22"/>
        </w:rPr>
        <w:t xml:space="preserve">զուտ առքը </w:t>
      </w:r>
      <w:r>
        <w:rPr>
          <w:rFonts w:ascii="GHEA Grapalat" w:hAnsi="GHEA Grapalat"/>
          <w:sz w:val="22"/>
          <w:szCs w:val="22"/>
        </w:rPr>
        <w:t>կազմել է 316.5 մլրդ դրամ</w:t>
      </w:r>
      <w:r w:rsidRPr="00B43B82">
        <w:rPr>
          <w:rFonts w:ascii="GHEA Grapalat" w:hAnsi="GHEA Grapalat"/>
          <w:sz w:val="22"/>
          <w:szCs w:val="22"/>
        </w:rPr>
        <w:t>՝</w:t>
      </w:r>
      <w:r>
        <w:rPr>
          <w:rFonts w:ascii="GHEA Grapalat" w:hAnsi="GHEA Grapalat"/>
          <w:sz w:val="22"/>
          <w:szCs w:val="22"/>
        </w:rPr>
        <w:t xml:space="preserve"> 2025թ</w:t>
      </w:r>
      <w:r w:rsidRPr="003C44C1">
        <w:rPr>
          <w:sz w:val="22"/>
          <w:szCs w:val="22"/>
        </w:rPr>
        <w:t>․</w:t>
      </w:r>
      <w:r w:rsidRPr="003C44C1">
        <w:rPr>
          <w:rFonts w:ascii="GHEA Grapalat" w:hAnsi="GHEA Grapalat"/>
          <w:sz w:val="22"/>
          <w:szCs w:val="22"/>
        </w:rPr>
        <w:t xml:space="preserve"> </w:t>
      </w:r>
      <w:r w:rsidRPr="003C44C1">
        <w:rPr>
          <w:rFonts w:ascii="GHEA Grapalat" w:hAnsi="GHEA Grapalat" w:cs="GHEA Grapalat"/>
          <w:sz w:val="22"/>
          <w:szCs w:val="22"/>
        </w:rPr>
        <w:t>առաջին</w:t>
      </w:r>
      <w:r w:rsidRPr="003C44C1">
        <w:rPr>
          <w:rFonts w:ascii="GHEA Grapalat" w:hAnsi="GHEA Grapalat"/>
          <w:sz w:val="22"/>
          <w:szCs w:val="22"/>
        </w:rPr>
        <w:t xml:space="preserve"> </w:t>
      </w:r>
      <w:r>
        <w:rPr>
          <w:rFonts w:ascii="GHEA Grapalat" w:hAnsi="GHEA Grapalat" w:cs="GHEA Grapalat"/>
          <w:sz w:val="22"/>
          <w:szCs w:val="22"/>
        </w:rPr>
        <w:t>կիսամյակի</w:t>
      </w:r>
      <w:r w:rsidRPr="003C44C1">
        <w:rPr>
          <w:rFonts w:ascii="GHEA Grapalat" w:hAnsi="GHEA Grapalat"/>
          <w:sz w:val="22"/>
          <w:szCs w:val="22"/>
        </w:rPr>
        <w:t xml:space="preserve"> </w:t>
      </w:r>
      <w:r>
        <w:rPr>
          <w:rFonts w:ascii="GHEA Grapalat" w:hAnsi="GHEA Grapalat"/>
          <w:sz w:val="22"/>
          <w:szCs w:val="22"/>
        </w:rPr>
        <w:t>համեմատ ավելանալով 8</w:t>
      </w:r>
      <w:r w:rsidRPr="004E3281">
        <w:rPr>
          <w:rFonts w:ascii="GHEA Grapalat" w:hAnsi="GHEA Grapalat"/>
          <w:sz w:val="22"/>
          <w:szCs w:val="22"/>
        </w:rPr>
        <w:t>1</w:t>
      </w:r>
      <w:r>
        <w:rPr>
          <w:rFonts w:ascii="GHEA Grapalat" w:hAnsi="GHEA Grapalat"/>
          <w:sz w:val="22"/>
          <w:szCs w:val="22"/>
        </w:rPr>
        <w:t>.</w:t>
      </w:r>
      <w:r w:rsidRPr="004E3281">
        <w:rPr>
          <w:rFonts w:ascii="GHEA Grapalat" w:hAnsi="GHEA Grapalat"/>
          <w:sz w:val="22"/>
          <w:szCs w:val="22"/>
        </w:rPr>
        <w:t>4</w:t>
      </w:r>
      <w:r>
        <w:rPr>
          <w:rFonts w:ascii="GHEA Grapalat" w:hAnsi="GHEA Grapalat"/>
          <w:sz w:val="22"/>
          <w:szCs w:val="22"/>
        </w:rPr>
        <w:t xml:space="preserve"> մլրդ դրամով</w:t>
      </w:r>
      <w:r w:rsidRPr="004E3281">
        <w:rPr>
          <w:rFonts w:ascii="GHEA Grapalat" w:hAnsi="GHEA Grapalat"/>
          <w:sz w:val="22"/>
          <w:szCs w:val="22"/>
        </w:rPr>
        <w:t xml:space="preserve"> </w:t>
      </w:r>
      <w:r>
        <w:rPr>
          <w:rFonts w:ascii="GHEA Grapalat" w:hAnsi="GHEA Grapalat"/>
          <w:sz w:val="22"/>
          <w:szCs w:val="22"/>
        </w:rPr>
        <w:t>կամ 34</w:t>
      </w:r>
      <w:r w:rsidRPr="004E3281">
        <w:rPr>
          <w:rFonts w:ascii="GHEA Grapalat" w:hAnsi="GHEA Grapalat"/>
          <w:sz w:val="22"/>
          <w:szCs w:val="22"/>
        </w:rPr>
        <w:t>.6%-</w:t>
      </w:r>
      <w:r>
        <w:rPr>
          <w:rFonts w:ascii="GHEA Grapalat" w:hAnsi="GHEA Grapalat"/>
          <w:sz w:val="22"/>
          <w:szCs w:val="22"/>
        </w:rPr>
        <w:t>ով</w:t>
      </w:r>
      <w:r w:rsidRPr="00345A1C">
        <w:rPr>
          <w:rFonts w:ascii="GHEA Grapalat" w:hAnsi="GHEA Grapalat"/>
          <w:sz w:val="22"/>
          <w:szCs w:val="22"/>
        </w:rPr>
        <w:t xml:space="preserve">: ՀՀ կենտրոնական բանկն արժութային շուկայում </w:t>
      </w:r>
      <w:r>
        <w:rPr>
          <w:rFonts w:ascii="GHEA Grapalat" w:hAnsi="GHEA Grapalat"/>
          <w:sz w:val="22"/>
          <w:szCs w:val="22"/>
        </w:rPr>
        <w:t xml:space="preserve">հաշվետու ժամանակահատվածում </w:t>
      </w:r>
      <w:r w:rsidRPr="00345A1C">
        <w:rPr>
          <w:rFonts w:ascii="GHEA Grapalat" w:hAnsi="GHEA Grapalat"/>
          <w:sz w:val="22"/>
          <w:szCs w:val="22"/>
        </w:rPr>
        <w:t>իրականացրել է միջամտություններ</w:t>
      </w:r>
      <w:r>
        <w:rPr>
          <w:rFonts w:ascii="GHEA Grapalat" w:hAnsi="GHEA Grapalat"/>
          <w:sz w:val="22"/>
          <w:szCs w:val="22"/>
        </w:rPr>
        <w:t xml:space="preserve"> 1161</w:t>
      </w:r>
      <w:r w:rsidR="000A721C">
        <w:rPr>
          <w:rFonts w:ascii="GHEA Grapalat" w:hAnsi="GHEA Grapalat"/>
          <w:sz w:val="22"/>
          <w:szCs w:val="22"/>
        </w:rPr>
        <w:t xml:space="preserve"> </w:t>
      </w:r>
      <w:r w:rsidRPr="00345A1C">
        <w:rPr>
          <w:rFonts w:ascii="GHEA Grapalat" w:hAnsi="GHEA Grapalat"/>
          <w:sz w:val="22"/>
          <w:szCs w:val="22"/>
        </w:rPr>
        <w:t>մլն ԱՄՆ դոլարի չափով (զուտ առք)՝ ավելորդ տատանողականությունը չեզոքացնելու նպատակով։</w:t>
      </w:r>
    </w:p>
    <w:p w14:paraId="6DF80CB0" w14:textId="77777777" w:rsidR="00D24FA0" w:rsidRDefault="00D24FA0" w:rsidP="00D24FA0">
      <w:pPr>
        <w:spacing w:line="276" w:lineRule="auto"/>
        <w:ind w:firstLine="567"/>
        <w:jc w:val="both"/>
        <w:rPr>
          <w:rFonts w:ascii="GHEA Grapalat" w:hAnsi="GHEA Grapalat"/>
          <w:sz w:val="22"/>
          <w:szCs w:val="22"/>
        </w:rPr>
      </w:pPr>
    </w:p>
    <w:tbl>
      <w:tblPr>
        <w:tblW w:w="4985" w:type="pct"/>
        <w:tblLook w:val="04A0" w:firstRow="1" w:lastRow="0" w:firstColumn="1" w:lastColumn="0" w:noHBand="0" w:noVBand="1"/>
      </w:tblPr>
      <w:tblGrid>
        <w:gridCol w:w="4820"/>
        <w:gridCol w:w="142"/>
        <w:gridCol w:w="5215"/>
      </w:tblGrid>
      <w:tr w:rsidR="00D24FA0" w:rsidRPr="00A508B5" w14:paraId="4B0D5058" w14:textId="77777777" w:rsidTr="00FE5D6A">
        <w:trPr>
          <w:trHeight w:val="419"/>
        </w:trPr>
        <w:tc>
          <w:tcPr>
            <w:tcW w:w="2368" w:type="pct"/>
          </w:tcPr>
          <w:p w14:paraId="600BA968" w14:textId="77777777" w:rsidR="00D24FA0" w:rsidRPr="006A7DA0" w:rsidRDefault="00D24FA0" w:rsidP="00F73C0E">
            <w:pPr>
              <w:pStyle w:val="a0"/>
            </w:pPr>
            <w:r w:rsidRPr="006A7DA0">
              <w:t xml:space="preserve">ՀՀ արժութային (ներբանկային) շուկայի </w:t>
            </w:r>
            <w:r w:rsidRPr="00F779F3">
              <w:rPr>
                <w:bCs/>
                <w:szCs w:val="16"/>
              </w:rPr>
              <w:t>շրջանառության</w:t>
            </w:r>
            <w:r w:rsidRPr="006A7DA0">
              <w:t xml:space="preserve"> տվյալներն ըստ դրամային համարժեքների, մլրդ դրամ</w:t>
            </w:r>
          </w:p>
        </w:tc>
        <w:tc>
          <w:tcPr>
            <w:tcW w:w="2631" w:type="pct"/>
            <w:gridSpan w:val="2"/>
          </w:tcPr>
          <w:p w14:paraId="3A6EE328" w14:textId="77777777" w:rsidR="00D24FA0" w:rsidRPr="006A7DA0" w:rsidRDefault="00D24FA0" w:rsidP="00F73C0E">
            <w:pPr>
              <w:pStyle w:val="a0"/>
            </w:pPr>
            <w:r w:rsidRPr="00F779F3">
              <w:rPr>
                <w:bCs/>
                <w:szCs w:val="16"/>
              </w:rPr>
              <w:t>Փոխարժեք</w:t>
            </w:r>
            <w:r w:rsidRPr="006A7DA0">
              <w:t xml:space="preserve"> և ՀՀ ԿԲ արձագանք</w:t>
            </w:r>
          </w:p>
        </w:tc>
      </w:tr>
      <w:tr w:rsidR="00D24FA0" w:rsidRPr="00345A1C" w14:paraId="3D9F1318" w14:textId="77777777" w:rsidTr="00FE5D6A">
        <w:trPr>
          <w:trHeight w:val="2848"/>
        </w:trPr>
        <w:tc>
          <w:tcPr>
            <w:tcW w:w="2438" w:type="pct"/>
            <w:gridSpan w:val="2"/>
          </w:tcPr>
          <w:p w14:paraId="58D01F80" w14:textId="77777777" w:rsidR="00D24FA0" w:rsidRPr="00345A1C" w:rsidRDefault="00D24FA0" w:rsidP="001A5DF8">
            <w:pPr>
              <w:spacing w:line="276" w:lineRule="auto"/>
              <w:jc w:val="both"/>
              <w:rPr>
                <w:rFonts w:ascii="GHEA Grapalat" w:eastAsia="GHEA Grapalat" w:hAnsi="GHEA Grapalat" w:cs="GHEA Grapalat"/>
                <w:sz w:val="22"/>
                <w:szCs w:val="22"/>
              </w:rPr>
            </w:pPr>
            <w:r w:rsidRPr="00345A1C">
              <w:rPr>
                <w:rFonts w:ascii="GHEA Grapalat" w:hAnsi="GHEA Grapalat"/>
                <w:sz w:val="22"/>
                <w:szCs w:val="22"/>
                <w:lang w:val="en-US"/>
              </w:rPr>
              <w:drawing>
                <wp:anchor distT="0" distB="0" distL="114300" distR="114300" simplePos="0" relativeHeight="251706880" behindDoc="0" locked="0" layoutInCell="1" allowOverlap="1" wp14:anchorId="3DB35F87" wp14:editId="22C6AE9C">
                  <wp:simplePos x="0" y="0"/>
                  <wp:positionH relativeFrom="column">
                    <wp:posOffset>-65102</wp:posOffset>
                  </wp:positionH>
                  <wp:positionV relativeFrom="paragraph">
                    <wp:posOffset>7316</wp:posOffset>
                  </wp:positionV>
                  <wp:extent cx="3045349" cy="2181225"/>
                  <wp:effectExtent l="0" t="0" r="3175" b="9525"/>
                  <wp:wrapNone/>
                  <wp:docPr id="74" name="Chart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margin">
                    <wp14:pctWidth>0</wp14:pctWidth>
                  </wp14:sizeRelH>
                  <wp14:sizeRelV relativeFrom="margin">
                    <wp14:pctHeight>0</wp14:pctHeight>
                  </wp14:sizeRelV>
                </wp:anchor>
              </w:drawing>
            </w:r>
          </w:p>
        </w:tc>
        <w:tc>
          <w:tcPr>
            <w:tcW w:w="2562" w:type="pct"/>
          </w:tcPr>
          <w:p w14:paraId="4355620B" w14:textId="77777777" w:rsidR="00D24FA0" w:rsidRPr="00345A1C" w:rsidRDefault="00D24FA0" w:rsidP="001A5DF8">
            <w:pPr>
              <w:spacing w:line="276" w:lineRule="auto"/>
              <w:jc w:val="both"/>
              <w:rPr>
                <w:rFonts w:ascii="GHEA Grapalat" w:eastAsia="GHEA Grapalat" w:hAnsi="GHEA Grapalat" w:cs="GHEA Grapalat"/>
                <w:color w:val="31849B" w:themeColor="accent5" w:themeShade="BF"/>
                <w:sz w:val="16"/>
                <w:szCs w:val="16"/>
              </w:rPr>
            </w:pPr>
            <w:r w:rsidRPr="00345A1C">
              <w:rPr>
                <w:rFonts w:ascii="GHEA Grapalat" w:hAnsi="GHEA Grapalat"/>
                <w:color w:val="31849B" w:themeColor="accent5" w:themeShade="BF"/>
                <w:sz w:val="16"/>
                <w:szCs w:val="16"/>
                <w:lang w:val="en-US"/>
              </w:rPr>
              <w:drawing>
                <wp:anchor distT="0" distB="0" distL="114300" distR="114300" simplePos="0" relativeHeight="251707904" behindDoc="0" locked="0" layoutInCell="1" allowOverlap="1" wp14:anchorId="1FDB8280" wp14:editId="56DBDB59">
                  <wp:simplePos x="0" y="0"/>
                  <wp:positionH relativeFrom="page">
                    <wp:posOffset>-30480</wp:posOffset>
                  </wp:positionH>
                  <wp:positionV relativeFrom="paragraph">
                    <wp:posOffset>7316</wp:posOffset>
                  </wp:positionV>
                  <wp:extent cx="3362656" cy="2181225"/>
                  <wp:effectExtent l="0" t="0" r="9525" b="9525"/>
                  <wp:wrapNone/>
                  <wp:docPr id="73"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margin">
                    <wp14:pctWidth>0</wp14:pctWidth>
                  </wp14:sizeRelH>
                  <wp14:sizeRelV relativeFrom="page">
                    <wp14:pctHeight>0</wp14:pctHeight>
                  </wp14:sizeRelV>
                </wp:anchor>
              </w:drawing>
            </w:r>
          </w:p>
        </w:tc>
      </w:tr>
      <w:tr w:rsidR="00D24FA0" w:rsidRPr="00345A1C" w14:paraId="278E7284" w14:textId="77777777" w:rsidTr="00E50443">
        <w:trPr>
          <w:trHeight w:val="664"/>
        </w:trPr>
        <w:tc>
          <w:tcPr>
            <w:tcW w:w="2438" w:type="pct"/>
            <w:gridSpan w:val="2"/>
          </w:tcPr>
          <w:p w14:paraId="1AAC440E" w14:textId="77777777" w:rsidR="00D24FA0" w:rsidRDefault="00D24FA0" w:rsidP="001A5DF8">
            <w:pPr>
              <w:spacing w:line="276" w:lineRule="auto"/>
              <w:jc w:val="both"/>
              <w:rPr>
                <w:rFonts w:ascii="GHEA Grapalat" w:hAnsi="GHEA Grapalat" w:cs="Sylfaen"/>
                <w:i/>
                <w:sz w:val="16"/>
                <w:szCs w:val="16"/>
              </w:rPr>
            </w:pPr>
          </w:p>
          <w:p w14:paraId="5DBB99BC" w14:textId="77777777" w:rsidR="00D24FA0" w:rsidRDefault="00D24FA0" w:rsidP="001A5DF8">
            <w:pPr>
              <w:spacing w:line="276" w:lineRule="auto"/>
              <w:jc w:val="both"/>
              <w:rPr>
                <w:rFonts w:ascii="GHEA Grapalat" w:hAnsi="GHEA Grapalat" w:cs="Sylfaen"/>
                <w:i/>
                <w:sz w:val="16"/>
                <w:szCs w:val="16"/>
              </w:rPr>
            </w:pPr>
          </w:p>
          <w:p w14:paraId="0105BA89" w14:textId="77777777" w:rsidR="00D24FA0" w:rsidRDefault="00D24FA0" w:rsidP="001A5DF8">
            <w:pPr>
              <w:spacing w:line="276" w:lineRule="auto"/>
              <w:jc w:val="both"/>
              <w:rPr>
                <w:rFonts w:ascii="GHEA Grapalat" w:hAnsi="GHEA Grapalat" w:cs="Sylfaen"/>
                <w:i/>
                <w:sz w:val="16"/>
                <w:szCs w:val="16"/>
              </w:rPr>
            </w:pPr>
          </w:p>
          <w:p w14:paraId="3220828B" w14:textId="2F1DE149" w:rsidR="00D24FA0" w:rsidRPr="0022719B" w:rsidRDefault="00D24FA0" w:rsidP="00E50443">
            <w:pPr>
              <w:spacing w:line="276" w:lineRule="auto"/>
              <w:ind w:left="-113"/>
              <w:jc w:val="both"/>
              <w:rPr>
                <w:rFonts w:ascii="GHEA Grapalat" w:hAnsi="GHEA Grapalat" w:cs="Sylfaen"/>
                <w:i/>
                <w:sz w:val="16"/>
                <w:szCs w:val="16"/>
              </w:rPr>
            </w:pPr>
            <w:r w:rsidRPr="00345A1C">
              <w:rPr>
                <w:rFonts w:ascii="GHEA Grapalat" w:hAnsi="GHEA Grapalat" w:cs="Sylfaen"/>
                <w:i/>
                <w:sz w:val="16"/>
                <w:szCs w:val="16"/>
              </w:rPr>
              <w:t>Աղբյուրը՝ ՀՀ ԿԲ, ՀՀ ՖՆ հաշվարկներ</w:t>
            </w:r>
          </w:p>
        </w:tc>
        <w:tc>
          <w:tcPr>
            <w:tcW w:w="2562" w:type="pct"/>
          </w:tcPr>
          <w:p w14:paraId="243CEBB5" w14:textId="77777777" w:rsidR="00D24FA0" w:rsidRDefault="00D24FA0" w:rsidP="001A5DF8">
            <w:pPr>
              <w:spacing w:line="276" w:lineRule="auto"/>
              <w:ind w:left="-65"/>
              <w:jc w:val="both"/>
              <w:rPr>
                <w:rFonts w:ascii="GHEA Grapalat" w:hAnsi="GHEA Grapalat" w:cs="Sylfaen"/>
                <w:i/>
                <w:sz w:val="16"/>
                <w:szCs w:val="16"/>
              </w:rPr>
            </w:pPr>
          </w:p>
          <w:p w14:paraId="502B5718" w14:textId="77777777" w:rsidR="00D24FA0" w:rsidRDefault="00D24FA0" w:rsidP="001A5DF8">
            <w:pPr>
              <w:spacing w:line="276" w:lineRule="auto"/>
              <w:ind w:left="-65"/>
              <w:jc w:val="both"/>
              <w:rPr>
                <w:rFonts w:ascii="GHEA Grapalat" w:hAnsi="GHEA Grapalat" w:cs="Sylfaen"/>
                <w:i/>
                <w:sz w:val="16"/>
                <w:szCs w:val="16"/>
              </w:rPr>
            </w:pPr>
          </w:p>
          <w:p w14:paraId="29B9137B" w14:textId="77777777" w:rsidR="00D24FA0" w:rsidRDefault="00D24FA0" w:rsidP="001A5DF8">
            <w:pPr>
              <w:spacing w:line="276" w:lineRule="auto"/>
              <w:jc w:val="both"/>
              <w:rPr>
                <w:rFonts w:ascii="GHEA Grapalat" w:hAnsi="GHEA Grapalat" w:cs="Sylfaen"/>
                <w:i/>
                <w:sz w:val="16"/>
                <w:szCs w:val="16"/>
              </w:rPr>
            </w:pPr>
          </w:p>
          <w:p w14:paraId="3C2D0E68" w14:textId="77777777" w:rsidR="00D24FA0" w:rsidRPr="00345A1C" w:rsidRDefault="00D24FA0" w:rsidP="00E50443">
            <w:pPr>
              <w:spacing w:line="276" w:lineRule="auto"/>
              <w:ind w:left="-110" w:firstLine="8"/>
              <w:jc w:val="both"/>
              <w:rPr>
                <w:rFonts w:ascii="GHEA Grapalat" w:eastAsia="GHEA Grapalat" w:hAnsi="GHEA Grapalat" w:cs="GHEA Grapalat"/>
                <w:b/>
                <w:i/>
                <w:iCs/>
                <w:sz w:val="16"/>
                <w:szCs w:val="16"/>
              </w:rPr>
            </w:pPr>
            <w:r w:rsidRPr="00345A1C">
              <w:rPr>
                <w:rFonts w:ascii="GHEA Grapalat" w:hAnsi="GHEA Grapalat" w:cs="Sylfaen"/>
                <w:i/>
                <w:sz w:val="16"/>
                <w:szCs w:val="16"/>
              </w:rPr>
              <w:t>Աղբյուրը՝ ՀՀ ԿԲ, ՀՀ ՖՆ հաշվարկներ</w:t>
            </w:r>
          </w:p>
        </w:tc>
      </w:tr>
    </w:tbl>
    <w:p w14:paraId="28BEC081" w14:textId="77777777" w:rsidR="0022719B" w:rsidRPr="0022719B" w:rsidRDefault="0022719B" w:rsidP="00D24FA0">
      <w:pPr>
        <w:spacing w:line="276" w:lineRule="auto"/>
        <w:ind w:firstLine="567"/>
        <w:jc w:val="both"/>
        <w:rPr>
          <w:rFonts w:ascii="GHEA Grapalat" w:eastAsia="GHEA Grapalat" w:hAnsi="GHEA Grapalat" w:cs="GHEA Grapalat"/>
          <w:bCs/>
          <w:sz w:val="22"/>
          <w:szCs w:val="22"/>
        </w:rPr>
      </w:pPr>
    </w:p>
    <w:p w14:paraId="1ECBF76A" w14:textId="2957CF77" w:rsidR="00D24FA0" w:rsidRPr="00345A1C" w:rsidRDefault="00D24FA0" w:rsidP="00D24FA0">
      <w:pPr>
        <w:spacing w:line="276" w:lineRule="auto"/>
        <w:ind w:firstLine="567"/>
        <w:jc w:val="both"/>
        <w:rPr>
          <w:rFonts w:ascii="GHEA Grapalat" w:eastAsia="GHEA Grapalat" w:hAnsi="GHEA Grapalat" w:cs="GHEA Grapalat"/>
          <w:bCs/>
          <w:sz w:val="22"/>
          <w:szCs w:val="22"/>
        </w:rPr>
      </w:pPr>
      <w:r w:rsidRPr="00345A1C">
        <w:rPr>
          <w:rFonts w:ascii="GHEA Grapalat" w:eastAsia="GHEA Grapalat" w:hAnsi="GHEA Grapalat" w:cs="GHEA Grapalat"/>
          <w:b/>
          <w:i/>
          <w:iCs/>
          <w:sz w:val="22"/>
          <w:szCs w:val="22"/>
        </w:rPr>
        <w:t>Երկկողմանի փոխարժեքներ։</w:t>
      </w:r>
      <w:r w:rsidRPr="00345A1C">
        <w:rPr>
          <w:rFonts w:ascii="GHEA Grapalat" w:eastAsia="GHEA Grapalat" w:hAnsi="GHEA Grapalat" w:cs="GHEA Grapalat"/>
          <w:b/>
          <w:sz w:val="22"/>
          <w:szCs w:val="22"/>
        </w:rPr>
        <w:t xml:space="preserve"> </w:t>
      </w:r>
      <w:r w:rsidRPr="00345A1C">
        <w:rPr>
          <w:rFonts w:ascii="GHEA Grapalat" w:eastAsia="GHEA Grapalat" w:hAnsi="GHEA Grapalat" w:cs="GHEA Grapalat"/>
          <w:bCs/>
          <w:sz w:val="22"/>
          <w:szCs w:val="22"/>
        </w:rPr>
        <w:t>Հաշվետու ժամանակահատվածում ՀՀ դրամ</w:t>
      </w:r>
      <w:r w:rsidRPr="0030424F">
        <w:rPr>
          <w:rFonts w:ascii="GHEA Grapalat" w:eastAsia="GHEA Grapalat" w:hAnsi="GHEA Grapalat" w:cs="GHEA Grapalat"/>
          <w:bCs/>
          <w:sz w:val="22"/>
          <w:szCs w:val="22"/>
        </w:rPr>
        <w:t>ն</w:t>
      </w:r>
      <w:r w:rsidRPr="00345A1C">
        <w:rPr>
          <w:rFonts w:ascii="GHEA Grapalat" w:eastAsia="GHEA Grapalat" w:hAnsi="GHEA Grapalat" w:cs="GHEA Grapalat"/>
          <w:bCs/>
          <w:sz w:val="22"/>
          <w:szCs w:val="22"/>
        </w:rPr>
        <w:t xml:space="preserve"> ԱՄՆ դոլարի</w:t>
      </w:r>
      <w:r>
        <w:rPr>
          <w:rFonts w:ascii="GHEA Grapalat" w:eastAsia="GHEA Grapalat" w:hAnsi="GHEA Grapalat" w:cs="GHEA Grapalat"/>
          <w:bCs/>
          <w:sz w:val="22"/>
          <w:szCs w:val="22"/>
        </w:rPr>
        <w:t xml:space="preserve"> նկատմամբ</w:t>
      </w:r>
      <w:r w:rsidRPr="00787CB2">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արժևորվել է, իսկ</w:t>
      </w:r>
      <w:r w:rsidRPr="00345A1C">
        <w:rPr>
          <w:rFonts w:ascii="GHEA Grapalat" w:eastAsia="GHEA Grapalat" w:hAnsi="GHEA Grapalat" w:cs="GHEA Grapalat"/>
          <w:bCs/>
          <w:sz w:val="22"/>
          <w:szCs w:val="22"/>
        </w:rPr>
        <w:t xml:space="preserve"> եվրոյի </w:t>
      </w:r>
      <w:r>
        <w:rPr>
          <w:rFonts w:ascii="GHEA Grapalat" w:eastAsia="GHEA Grapalat" w:hAnsi="GHEA Grapalat" w:cs="GHEA Grapalat"/>
          <w:bCs/>
          <w:sz w:val="22"/>
          <w:szCs w:val="22"/>
        </w:rPr>
        <w:t xml:space="preserve">և ՌԴ ռուբլու </w:t>
      </w:r>
      <w:r w:rsidRPr="00345A1C">
        <w:rPr>
          <w:rFonts w:ascii="GHEA Grapalat" w:eastAsia="GHEA Grapalat" w:hAnsi="GHEA Grapalat" w:cs="GHEA Grapalat"/>
          <w:bCs/>
          <w:sz w:val="22"/>
          <w:szCs w:val="22"/>
        </w:rPr>
        <w:t>նկատմամբ</w:t>
      </w:r>
      <w:r>
        <w:rPr>
          <w:rFonts w:ascii="GHEA Grapalat" w:eastAsia="GHEA Grapalat" w:hAnsi="GHEA Grapalat" w:cs="GHEA Grapalat"/>
          <w:bCs/>
          <w:sz w:val="22"/>
          <w:szCs w:val="22"/>
        </w:rPr>
        <w:t>՝ արժեզրկվել։</w:t>
      </w:r>
      <w:r w:rsidR="00F15698">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Այսպես, 2026թ</w:t>
      </w:r>
      <w:r w:rsidRPr="00747C56">
        <w:rPr>
          <w:rFonts w:eastAsia="GHEA Grapalat"/>
          <w:bCs/>
          <w:sz w:val="22"/>
          <w:szCs w:val="22"/>
        </w:rPr>
        <w:t>.</w:t>
      </w:r>
      <w:r w:rsidRPr="00787CB2">
        <w:rPr>
          <w:rFonts w:ascii="GHEA Grapalat" w:eastAsia="GHEA Grapalat" w:hAnsi="GHEA Grapalat" w:cs="GHEA Grapalat"/>
          <w:bCs/>
          <w:sz w:val="22"/>
          <w:szCs w:val="22"/>
        </w:rPr>
        <w:t xml:space="preserve"> առաջին</w:t>
      </w:r>
      <w:r>
        <w:rPr>
          <w:rFonts w:eastAsia="GHEA Grapalat"/>
          <w:bCs/>
          <w:sz w:val="22"/>
          <w:szCs w:val="22"/>
        </w:rPr>
        <w:t xml:space="preserve"> </w:t>
      </w:r>
      <w:r w:rsidRPr="00787CB2">
        <w:rPr>
          <w:rFonts w:ascii="GHEA Grapalat" w:eastAsia="GHEA Grapalat" w:hAnsi="GHEA Grapalat" w:cs="GHEA Grapalat"/>
          <w:bCs/>
          <w:sz w:val="22"/>
          <w:szCs w:val="22"/>
        </w:rPr>
        <w:lastRenderedPageBreak/>
        <w:t xml:space="preserve">կիսամյակում </w:t>
      </w:r>
      <w:r>
        <w:rPr>
          <w:rFonts w:ascii="GHEA Grapalat" w:eastAsia="GHEA Grapalat" w:hAnsi="GHEA Grapalat" w:cs="GHEA Grapalat"/>
          <w:bCs/>
          <w:sz w:val="22"/>
          <w:szCs w:val="22"/>
        </w:rPr>
        <w:t xml:space="preserve">ԱՄՆ դոլարի նկատմամբ դրամի արժևորման չափը կազմել է </w:t>
      </w:r>
      <w:r w:rsidRPr="004E4E55">
        <w:rPr>
          <w:rFonts w:ascii="GHEA Grapalat" w:eastAsia="GHEA Grapalat" w:hAnsi="GHEA Grapalat" w:cs="GHEA Grapalat"/>
          <w:bCs/>
          <w:sz w:val="22"/>
          <w:szCs w:val="22"/>
        </w:rPr>
        <w:t xml:space="preserve">4.5%, </w:t>
      </w:r>
      <w:r>
        <w:rPr>
          <w:rFonts w:ascii="GHEA Grapalat" w:eastAsia="GHEA Grapalat" w:hAnsi="GHEA Grapalat" w:cs="GHEA Grapalat"/>
          <w:bCs/>
          <w:sz w:val="22"/>
          <w:szCs w:val="22"/>
        </w:rPr>
        <w:t>իսկ</w:t>
      </w:r>
      <w:r w:rsidRPr="00345A1C">
        <w:rPr>
          <w:rFonts w:ascii="GHEA Grapalat" w:eastAsia="GHEA Grapalat" w:hAnsi="GHEA Grapalat" w:cs="GHEA Grapalat"/>
          <w:bCs/>
          <w:sz w:val="22"/>
          <w:szCs w:val="22"/>
        </w:rPr>
        <w:t xml:space="preserve"> եվրոյի </w:t>
      </w:r>
      <w:r>
        <w:rPr>
          <w:rFonts w:ascii="GHEA Grapalat" w:eastAsia="GHEA Grapalat" w:hAnsi="GHEA Grapalat" w:cs="GHEA Grapalat"/>
          <w:bCs/>
          <w:sz w:val="22"/>
          <w:szCs w:val="22"/>
        </w:rPr>
        <w:t xml:space="preserve">և ՌԴ ռուբլու նկատմամբ դրամն արժեզրկվել է՝ համապատասխանաբար </w:t>
      </w:r>
      <w:r w:rsidRPr="00B33491">
        <w:rPr>
          <w:rFonts w:ascii="GHEA Grapalat" w:eastAsia="GHEA Grapalat" w:hAnsi="GHEA Grapalat" w:cs="GHEA Grapalat"/>
          <w:bCs/>
          <w:sz w:val="22"/>
          <w:szCs w:val="22"/>
        </w:rPr>
        <w:t>2.1</w:t>
      </w:r>
      <w:r w:rsidRPr="00B57798">
        <w:rPr>
          <w:rFonts w:ascii="GHEA Grapalat" w:eastAsia="GHEA Grapalat" w:hAnsi="GHEA Grapalat" w:cs="GHEA Grapalat"/>
          <w:bCs/>
          <w:sz w:val="22"/>
          <w:szCs w:val="22"/>
        </w:rPr>
        <w:t>%</w:t>
      </w:r>
      <w:r>
        <w:rPr>
          <w:rFonts w:ascii="GHEA Grapalat" w:eastAsia="GHEA Grapalat" w:hAnsi="GHEA Grapalat" w:cs="GHEA Grapalat"/>
          <w:bCs/>
          <w:sz w:val="22"/>
          <w:szCs w:val="22"/>
        </w:rPr>
        <w:t>-ով</w:t>
      </w:r>
      <w:r w:rsidRPr="004E4E55">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 xml:space="preserve">և </w:t>
      </w:r>
      <w:r w:rsidRPr="00B33491">
        <w:rPr>
          <w:rFonts w:ascii="GHEA Grapalat" w:eastAsia="GHEA Grapalat" w:hAnsi="GHEA Grapalat" w:cs="GHEA Grapalat"/>
          <w:bCs/>
          <w:sz w:val="22"/>
          <w:szCs w:val="22"/>
        </w:rPr>
        <w:t>7</w:t>
      </w:r>
      <w:r>
        <w:rPr>
          <w:rFonts w:ascii="Cambria Math" w:eastAsia="GHEA Grapalat" w:hAnsi="Cambria Math" w:cs="GHEA Grapalat"/>
          <w:bCs/>
          <w:sz w:val="22"/>
          <w:szCs w:val="22"/>
        </w:rPr>
        <w:t>․</w:t>
      </w:r>
      <w:r>
        <w:rPr>
          <w:rFonts w:ascii="GHEA Grapalat" w:eastAsia="GHEA Grapalat" w:hAnsi="GHEA Grapalat" w:cs="GHEA Grapalat"/>
          <w:bCs/>
          <w:sz w:val="22"/>
          <w:szCs w:val="22"/>
        </w:rPr>
        <w:t>5</w:t>
      </w:r>
      <w:r w:rsidRPr="004E4E55">
        <w:rPr>
          <w:rFonts w:ascii="GHEA Grapalat" w:eastAsia="GHEA Grapalat" w:hAnsi="GHEA Grapalat" w:cs="GHEA Grapalat"/>
          <w:bCs/>
          <w:sz w:val="22"/>
          <w:szCs w:val="22"/>
        </w:rPr>
        <w:t>%</w:t>
      </w:r>
      <w:r>
        <w:rPr>
          <w:rFonts w:ascii="GHEA Grapalat" w:eastAsia="GHEA Grapalat" w:hAnsi="GHEA Grapalat" w:cs="GHEA Grapalat"/>
          <w:bCs/>
          <w:sz w:val="22"/>
          <w:szCs w:val="22"/>
        </w:rPr>
        <w:t>-ով</w:t>
      </w:r>
      <w:r w:rsidRPr="004E4E55">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 </w:t>
      </w:r>
    </w:p>
    <w:p w14:paraId="11DF5F99" w14:textId="77777777" w:rsidR="00D24FA0" w:rsidRPr="007A1368" w:rsidRDefault="00D24FA0" w:rsidP="00D24FA0">
      <w:pPr>
        <w:spacing w:line="276" w:lineRule="auto"/>
        <w:ind w:firstLine="567"/>
        <w:jc w:val="both"/>
        <w:rPr>
          <w:rFonts w:ascii="GHEA Grapalat" w:eastAsia="GHEA Grapalat" w:hAnsi="GHEA Grapalat" w:cs="GHEA Grapalat"/>
          <w:bCs/>
          <w:sz w:val="22"/>
          <w:szCs w:val="22"/>
        </w:rPr>
      </w:pPr>
      <w:r w:rsidRPr="00345A1C">
        <w:rPr>
          <w:rFonts w:ascii="GHEA Grapalat" w:eastAsia="GHEA Grapalat" w:hAnsi="GHEA Grapalat" w:cs="GHEA Grapalat"/>
          <w:bCs/>
          <w:sz w:val="22"/>
          <w:szCs w:val="22"/>
        </w:rPr>
        <w:t>Հաշվետու ժամանակահատվածում ԱՄՆ դոլարի նկատմամբ ՀՀ դրամի ձևավորված միջին փոխարժեքը կազմել է</w:t>
      </w:r>
      <w:r>
        <w:rPr>
          <w:rFonts w:ascii="GHEA Grapalat" w:eastAsia="GHEA Grapalat" w:hAnsi="GHEA Grapalat" w:cs="GHEA Grapalat"/>
          <w:bCs/>
          <w:sz w:val="22"/>
          <w:szCs w:val="22"/>
        </w:rPr>
        <w:t xml:space="preserve"> 3</w:t>
      </w:r>
      <w:r w:rsidRPr="00BD04AE">
        <w:rPr>
          <w:rFonts w:ascii="GHEA Grapalat" w:eastAsia="GHEA Grapalat" w:hAnsi="GHEA Grapalat" w:cs="GHEA Grapalat"/>
          <w:bCs/>
          <w:sz w:val="22"/>
          <w:szCs w:val="22"/>
        </w:rPr>
        <w:t>74</w:t>
      </w:r>
      <w:r>
        <w:rPr>
          <w:rFonts w:ascii="GHEA Grapalat" w:eastAsia="GHEA Grapalat" w:hAnsi="GHEA Grapalat" w:cs="GHEA Grapalat"/>
          <w:bCs/>
          <w:sz w:val="22"/>
          <w:szCs w:val="22"/>
        </w:rPr>
        <w:t>.3</w:t>
      </w:r>
      <w:r w:rsidRPr="00345A1C">
        <w:rPr>
          <w:rFonts w:ascii="GHEA Grapalat" w:eastAsia="GHEA Grapalat" w:hAnsi="GHEA Grapalat" w:cs="GHEA Grapalat"/>
          <w:bCs/>
          <w:sz w:val="22"/>
          <w:szCs w:val="22"/>
        </w:rPr>
        <w:t xml:space="preserve"> դրամ մեկ ԱՄՆ դոլարի դիմաց, և </w:t>
      </w:r>
      <w:r w:rsidRPr="00787CB2">
        <w:rPr>
          <w:rFonts w:ascii="GHEA Grapalat" w:eastAsia="GHEA Grapalat" w:hAnsi="GHEA Grapalat" w:cs="GHEA Grapalat"/>
          <w:bCs/>
          <w:sz w:val="22"/>
          <w:szCs w:val="22"/>
        </w:rPr>
        <w:t>արժևորման առավելագույն</w:t>
      </w:r>
      <w:r>
        <w:rPr>
          <w:rFonts w:ascii="GHEA Grapalat" w:hAnsi="GHEA Grapalat"/>
          <w:sz w:val="22"/>
          <w:szCs w:val="22"/>
        </w:rPr>
        <w:t xml:space="preserve"> մակարդակը գրանցվել է 3</w:t>
      </w:r>
      <w:r w:rsidRPr="00BD04AE">
        <w:rPr>
          <w:rFonts w:ascii="GHEA Grapalat" w:hAnsi="GHEA Grapalat"/>
          <w:sz w:val="22"/>
          <w:szCs w:val="22"/>
        </w:rPr>
        <w:t>67</w:t>
      </w:r>
      <w:r>
        <w:rPr>
          <w:rFonts w:ascii="GHEA Grapalat" w:hAnsi="GHEA Grapalat"/>
          <w:sz w:val="22"/>
          <w:szCs w:val="22"/>
        </w:rPr>
        <w:t>.</w:t>
      </w:r>
      <w:r w:rsidRPr="00BD04AE">
        <w:rPr>
          <w:rFonts w:ascii="GHEA Grapalat" w:hAnsi="GHEA Grapalat"/>
          <w:sz w:val="22"/>
          <w:szCs w:val="22"/>
        </w:rPr>
        <w:t>7</w:t>
      </w:r>
      <w:r>
        <w:rPr>
          <w:rFonts w:ascii="GHEA Grapalat" w:hAnsi="GHEA Grapalat"/>
          <w:sz w:val="22"/>
          <w:szCs w:val="22"/>
        </w:rPr>
        <w:t xml:space="preserve"> դրամ 202</w:t>
      </w:r>
      <w:r w:rsidRPr="00BD04AE">
        <w:rPr>
          <w:rFonts w:ascii="GHEA Grapalat" w:hAnsi="GHEA Grapalat"/>
          <w:sz w:val="22"/>
          <w:szCs w:val="22"/>
        </w:rPr>
        <w:t>6</w:t>
      </w:r>
      <w:r w:rsidRPr="00345A1C">
        <w:rPr>
          <w:rFonts w:ascii="GHEA Grapalat" w:hAnsi="GHEA Grapalat"/>
          <w:sz w:val="22"/>
          <w:szCs w:val="22"/>
        </w:rPr>
        <w:t>թ</w:t>
      </w:r>
      <w:r w:rsidRPr="00747C56">
        <w:rPr>
          <w:rFonts w:ascii="Cambria Math" w:hAnsi="Cambria Math" w:cs="Cambria Math"/>
          <w:sz w:val="22"/>
          <w:szCs w:val="22"/>
        </w:rPr>
        <w:t>.</w:t>
      </w:r>
      <w:r w:rsidRPr="00BC2C75">
        <w:rPr>
          <w:rFonts w:ascii="GHEA Grapalat" w:hAnsi="GHEA Grapalat"/>
          <w:sz w:val="22"/>
          <w:szCs w:val="22"/>
        </w:rPr>
        <w:t xml:space="preserve"> </w:t>
      </w:r>
      <w:r>
        <w:rPr>
          <w:rFonts w:ascii="GHEA Grapalat" w:hAnsi="GHEA Grapalat"/>
          <w:sz w:val="22"/>
          <w:szCs w:val="22"/>
        </w:rPr>
        <w:t>մայիսի 26</w:t>
      </w:r>
      <w:r w:rsidRPr="00345A1C">
        <w:rPr>
          <w:rFonts w:ascii="GHEA Grapalat" w:hAnsi="GHEA Grapalat"/>
          <w:sz w:val="22"/>
          <w:szCs w:val="22"/>
        </w:rPr>
        <w:t>-ին։ Ե</w:t>
      </w:r>
      <w:r w:rsidRPr="00345A1C">
        <w:rPr>
          <w:rFonts w:ascii="GHEA Grapalat" w:eastAsia="GHEA Grapalat" w:hAnsi="GHEA Grapalat" w:cs="GHEA Grapalat"/>
          <w:bCs/>
          <w:sz w:val="22"/>
          <w:szCs w:val="22"/>
        </w:rPr>
        <w:t>վրոյի նկատմամբ ձևավորված միջին փոխարժեքը կազմել է</w:t>
      </w:r>
      <w:r>
        <w:rPr>
          <w:rFonts w:ascii="GHEA Grapalat" w:eastAsia="GHEA Grapalat" w:hAnsi="GHEA Grapalat" w:cs="GHEA Grapalat"/>
          <w:bCs/>
          <w:sz w:val="22"/>
          <w:szCs w:val="22"/>
        </w:rPr>
        <w:t xml:space="preserve"> 436.7</w:t>
      </w:r>
      <w:r w:rsidRPr="00345A1C">
        <w:rPr>
          <w:rFonts w:ascii="GHEA Grapalat" w:eastAsia="GHEA Grapalat" w:hAnsi="GHEA Grapalat" w:cs="GHEA Grapalat"/>
          <w:bCs/>
          <w:sz w:val="22"/>
          <w:szCs w:val="22"/>
        </w:rPr>
        <w:t xml:space="preserve"> դրամ մեկ եվրոյի դիմաց</w:t>
      </w:r>
      <w:r w:rsidRPr="007A1368">
        <w:rPr>
          <w:rFonts w:ascii="GHEA Grapalat" w:eastAsia="GHEA Grapalat" w:hAnsi="GHEA Grapalat" w:cs="GHEA Grapalat"/>
          <w:bCs/>
          <w:sz w:val="22"/>
          <w:szCs w:val="22"/>
        </w:rPr>
        <w:t>:</w:t>
      </w:r>
    </w:p>
    <w:p w14:paraId="41632C00" w14:textId="6BA0F63D" w:rsidR="00D24FA0" w:rsidRDefault="002C1F04" w:rsidP="00D24FA0">
      <w:pPr>
        <w:spacing w:line="276" w:lineRule="auto"/>
        <w:ind w:firstLine="567"/>
        <w:jc w:val="both"/>
        <w:rPr>
          <w:rFonts w:ascii="GHEA Grapalat" w:hAnsi="GHEA Grapalat"/>
          <w:sz w:val="22"/>
          <w:szCs w:val="22"/>
        </w:rPr>
      </w:pPr>
      <w:r>
        <w:rPr>
          <w:rFonts w:ascii="GHEA Grapalat" w:hAnsi="GHEA Grapalat"/>
          <w:sz w:val="22"/>
          <w:szCs w:val="22"/>
        </w:rPr>
        <w:t>2026</w:t>
      </w:r>
      <w:r w:rsidR="00D24FA0" w:rsidRPr="005763B8">
        <w:rPr>
          <w:rFonts w:ascii="GHEA Grapalat" w:hAnsi="GHEA Grapalat"/>
          <w:sz w:val="22"/>
          <w:szCs w:val="22"/>
        </w:rPr>
        <w:t>թ</w:t>
      </w:r>
      <w:r>
        <w:rPr>
          <w:rFonts w:ascii="GHEA Grapalat" w:hAnsi="GHEA Grapalat"/>
          <w:sz w:val="22"/>
          <w:szCs w:val="22"/>
          <w:lang w:val="en-US"/>
        </w:rPr>
        <w:t>.</w:t>
      </w:r>
      <w:r w:rsidR="00D24FA0" w:rsidRPr="005763B8">
        <w:rPr>
          <w:rFonts w:ascii="GHEA Grapalat" w:hAnsi="GHEA Grapalat"/>
          <w:sz w:val="22"/>
          <w:szCs w:val="22"/>
        </w:rPr>
        <w:t xml:space="preserve"> առաջին կիսամյակում ՀՀ դրամի միջին փոխարժեքը ՌԴ ռուբլու նկատմամբ նախորդ տարվ</w:t>
      </w:r>
      <w:r w:rsidR="00395352">
        <w:rPr>
          <w:rFonts w:ascii="GHEA Grapalat" w:hAnsi="GHEA Grapalat"/>
          <w:sz w:val="22"/>
          <w:szCs w:val="22"/>
        </w:rPr>
        <w:t>ա նույն ժամանակահատվածի համեմատ</w:t>
      </w:r>
      <w:r w:rsidR="00D24FA0" w:rsidRPr="005763B8">
        <w:rPr>
          <w:rFonts w:ascii="GHEA Grapalat" w:hAnsi="GHEA Grapalat"/>
          <w:sz w:val="22"/>
          <w:szCs w:val="22"/>
        </w:rPr>
        <w:t xml:space="preserve"> արժեզրկվել է 7.5%-ով՝ մեծապես</w:t>
      </w:r>
      <w:r w:rsidR="00D24FA0">
        <w:rPr>
          <w:rFonts w:ascii="GHEA Grapalat" w:hAnsi="GHEA Grapalat"/>
          <w:sz w:val="22"/>
          <w:szCs w:val="22"/>
        </w:rPr>
        <w:t xml:space="preserve"> </w:t>
      </w:r>
      <w:r w:rsidR="00D24FA0" w:rsidRPr="00413E34">
        <w:rPr>
          <w:rFonts w:ascii="GHEA Grapalat" w:hAnsi="GHEA Grapalat"/>
          <w:sz w:val="22"/>
          <w:szCs w:val="22"/>
        </w:rPr>
        <w:t>պայմանավորված միջազգային շուկաներում ԱՄՆ դոլարի նկատմամբ ռուսական ռուբլու արժևորմամբ, որը, ՀՀ դրամի համեմատաբար կայուն դինամիկայի պայմաններում, հանգեցրել է դրամի արժեզրկմանը ռուբլու նկատմամբ։</w:t>
      </w:r>
      <w:r w:rsidR="00D24FA0" w:rsidRPr="005763B8">
        <w:rPr>
          <w:rFonts w:ascii="GHEA Grapalat" w:hAnsi="GHEA Grapalat"/>
          <w:sz w:val="22"/>
          <w:szCs w:val="22"/>
        </w:rPr>
        <w:t xml:space="preserve"> Հաշվետու ժամանակահատվածում մեկ ռուսական ռուբլու միջին փոխարժեքը կազմել է 4.9 դրամ։</w:t>
      </w:r>
    </w:p>
    <w:p w14:paraId="592D7A25" w14:textId="77777777" w:rsidR="00395352" w:rsidRPr="007A1368" w:rsidRDefault="00395352" w:rsidP="00D24FA0">
      <w:pPr>
        <w:spacing w:line="276" w:lineRule="auto"/>
        <w:ind w:firstLine="567"/>
        <w:jc w:val="both"/>
        <w:rPr>
          <w:rFonts w:ascii="GHEA Grapalat" w:hAnsi="GHEA Grapalat"/>
          <w:sz w:val="22"/>
          <w:szCs w:val="22"/>
        </w:rPr>
      </w:pPr>
    </w:p>
    <w:tbl>
      <w:tblPr>
        <w:tblW w:w="5362" w:type="pct"/>
        <w:tblLook w:val="04A0" w:firstRow="1" w:lastRow="0" w:firstColumn="1" w:lastColumn="0" w:noHBand="0" w:noVBand="1"/>
      </w:tblPr>
      <w:tblGrid>
        <w:gridCol w:w="5386"/>
        <w:gridCol w:w="5027"/>
        <w:gridCol w:w="534"/>
      </w:tblGrid>
      <w:tr w:rsidR="00D24FA0" w:rsidRPr="00EF0BAF" w14:paraId="5B3EDD63" w14:textId="77777777" w:rsidTr="00172A42">
        <w:trPr>
          <w:gridAfter w:val="1"/>
          <w:wAfter w:w="244" w:type="pct"/>
          <w:trHeight w:val="569"/>
        </w:trPr>
        <w:tc>
          <w:tcPr>
            <w:tcW w:w="2460" w:type="pct"/>
          </w:tcPr>
          <w:p w14:paraId="149BD76A" w14:textId="77777777" w:rsidR="00D24FA0" w:rsidRPr="00EF0BAF" w:rsidRDefault="00D24FA0" w:rsidP="00F73C0E">
            <w:pPr>
              <w:pStyle w:val="a0"/>
              <w:rPr>
                <w:lang w:eastAsia="ru-RU"/>
              </w:rPr>
            </w:pPr>
            <w:r w:rsidRPr="00EF0BAF">
              <w:rPr>
                <w:lang w:eastAsia="ru-RU"/>
              </w:rPr>
              <w:t xml:space="preserve">ՀՀ դրամի անվանական փոխարժեքի ամսական դինամիկան հիմնական արժույթների </w:t>
            </w:r>
            <w:r w:rsidRPr="00F779F3">
              <w:rPr>
                <w:bCs/>
                <w:szCs w:val="16"/>
              </w:rPr>
              <w:t>նկատմամբ</w:t>
            </w:r>
            <w:r w:rsidRPr="00EF0BAF">
              <w:rPr>
                <w:lang w:eastAsia="ru-RU"/>
              </w:rPr>
              <w:t xml:space="preserve"> (բարձրացումը՝ դրամի արժեզրկում), ՀՀ դրամ</w:t>
            </w:r>
            <w:r w:rsidRPr="00D15820">
              <w:rPr>
                <w:lang w:eastAsia="ru-RU"/>
              </w:rPr>
              <w:t xml:space="preserve"> </w:t>
            </w:r>
          </w:p>
        </w:tc>
        <w:tc>
          <w:tcPr>
            <w:tcW w:w="2296" w:type="pct"/>
          </w:tcPr>
          <w:p w14:paraId="39A3C810" w14:textId="77777777" w:rsidR="00D24FA0" w:rsidRPr="00EF0BAF" w:rsidRDefault="00D24FA0" w:rsidP="00F73C0E">
            <w:pPr>
              <w:pStyle w:val="a0"/>
              <w:rPr>
                <w:rFonts w:ascii="Calibri" w:hAnsi="Calibri" w:cs="Calibri"/>
                <w:sz w:val="22"/>
                <w:szCs w:val="22"/>
                <w:lang w:eastAsia="ru-RU"/>
              </w:rPr>
            </w:pPr>
            <w:r w:rsidRPr="00EF0BAF">
              <w:rPr>
                <w:lang w:eastAsia="ru-RU"/>
              </w:rPr>
              <w:t xml:space="preserve">ՀՀ իրական և անվանական արդյունավետ </w:t>
            </w:r>
            <w:r w:rsidRPr="00F779F3">
              <w:rPr>
                <w:bCs/>
                <w:szCs w:val="16"/>
              </w:rPr>
              <w:t>փոխարժեքների</w:t>
            </w:r>
            <w:r w:rsidRPr="00EF0BAF">
              <w:rPr>
                <w:lang w:eastAsia="ru-RU"/>
              </w:rPr>
              <w:t xml:space="preserve"> դինամիկան, 2020=100 (աճ՝ արժևորում),</w:t>
            </w:r>
            <w:r w:rsidRPr="00D15820">
              <w:rPr>
                <w:lang w:eastAsia="ru-RU"/>
              </w:rPr>
              <w:t xml:space="preserve"> </w:t>
            </w:r>
            <w:r w:rsidRPr="00EF0BAF">
              <w:rPr>
                <w:lang w:eastAsia="ru-RU"/>
              </w:rPr>
              <w:t>%</w:t>
            </w:r>
          </w:p>
        </w:tc>
      </w:tr>
      <w:tr w:rsidR="00D24FA0" w:rsidRPr="00EF0BAF" w14:paraId="42304E15" w14:textId="77777777" w:rsidTr="00172A42">
        <w:trPr>
          <w:trHeight w:val="3547"/>
        </w:trPr>
        <w:tc>
          <w:tcPr>
            <w:tcW w:w="2460" w:type="pct"/>
          </w:tcPr>
          <w:p w14:paraId="15BFF50F" w14:textId="77777777" w:rsidR="00D24FA0" w:rsidRPr="00EF0BAF" w:rsidRDefault="00D24FA0" w:rsidP="001705C5">
            <w:pPr>
              <w:spacing w:line="276" w:lineRule="auto"/>
              <w:ind w:left="-113"/>
              <w:jc w:val="both"/>
              <w:rPr>
                <w:rFonts w:ascii="GHEA Grapalat" w:eastAsia="GHEA Grapalat" w:hAnsi="GHEA Grapalat" w:cs="GHEA Grapalat"/>
                <w:szCs w:val="22"/>
              </w:rPr>
            </w:pPr>
            <w:r w:rsidRPr="00EF0BAF">
              <w:rPr>
                <w:rFonts w:ascii="GHEA Grapalat" w:eastAsia="GHEA Grapalat" w:hAnsi="GHEA Grapalat"/>
                <w:b/>
                <w:szCs w:val="22"/>
                <w:lang w:val="en-US"/>
              </w:rPr>
              <w:drawing>
                <wp:anchor distT="0" distB="0" distL="114300" distR="114300" simplePos="0" relativeHeight="251708928" behindDoc="0" locked="0" layoutInCell="1" allowOverlap="1" wp14:anchorId="4226CFFE" wp14:editId="13CF0F24">
                  <wp:simplePos x="0" y="0"/>
                  <wp:positionH relativeFrom="column">
                    <wp:posOffset>-73053</wp:posOffset>
                  </wp:positionH>
                  <wp:positionV relativeFrom="paragraph">
                    <wp:posOffset>8007</wp:posOffset>
                  </wp:positionV>
                  <wp:extent cx="3279913" cy="2209800"/>
                  <wp:effectExtent l="0" t="0" r="15875" b="0"/>
                  <wp:wrapNone/>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p>
        </w:tc>
        <w:tc>
          <w:tcPr>
            <w:tcW w:w="2540" w:type="pct"/>
            <w:gridSpan w:val="2"/>
          </w:tcPr>
          <w:p w14:paraId="00290EFA" w14:textId="77777777" w:rsidR="00D24FA0" w:rsidRPr="00EF0BAF" w:rsidRDefault="00D24FA0" w:rsidP="001A5DF8">
            <w:pPr>
              <w:spacing w:line="276" w:lineRule="auto"/>
              <w:jc w:val="both"/>
              <w:rPr>
                <w:rFonts w:ascii="GHEA Grapalat" w:eastAsia="GHEA Grapalat" w:hAnsi="GHEA Grapalat" w:cs="GHEA Grapalat"/>
                <w:sz w:val="22"/>
                <w:szCs w:val="22"/>
              </w:rPr>
            </w:pPr>
            <w:r w:rsidRPr="00BC2C75">
              <w:rPr>
                <w:rFonts w:ascii="GHEA Grapalat" w:eastAsia="GHEA Grapalat" w:hAnsi="GHEA Grapalat"/>
                <w:b/>
                <w:lang w:val="en-US"/>
              </w:rPr>
              <w:drawing>
                <wp:anchor distT="0" distB="0" distL="114300" distR="114300" simplePos="0" relativeHeight="251709952" behindDoc="0" locked="0" layoutInCell="1" allowOverlap="1" wp14:anchorId="1233433F" wp14:editId="434BA5CC">
                  <wp:simplePos x="0" y="0"/>
                  <wp:positionH relativeFrom="column">
                    <wp:posOffset>-58199</wp:posOffset>
                  </wp:positionH>
                  <wp:positionV relativeFrom="paragraph">
                    <wp:posOffset>3562</wp:posOffset>
                  </wp:positionV>
                  <wp:extent cx="3037398" cy="2217420"/>
                  <wp:effectExtent l="0" t="0" r="10795" b="11430"/>
                  <wp:wrapNone/>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tc>
      </w:tr>
      <w:tr w:rsidR="00D24FA0" w:rsidRPr="00EF0BAF" w14:paraId="42FF6990" w14:textId="77777777" w:rsidTr="00172A42">
        <w:trPr>
          <w:trHeight w:val="295"/>
        </w:trPr>
        <w:tc>
          <w:tcPr>
            <w:tcW w:w="2460" w:type="pct"/>
          </w:tcPr>
          <w:p w14:paraId="52305D7C" w14:textId="77777777" w:rsidR="00D24FA0" w:rsidRPr="00D15820" w:rsidRDefault="00D24FA0" w:rsidP="001705C5">
            <w:pPr>
              <w:spacing w:line="276" w:lineRule="auto"/>
              <w:ind w:left="-113"/>
              <w:jc w:val="both"/>
              <w:rPr>
                <w:rFonts w:ascii="GHEA Grapalat" w:hAnsi="GHEA Grapalat" w:cs="Sylfaen"/>
                <w:i/>
                <w:sz w:val="16"/>
                <w:szCs w:val="16"/>
              </w:rPr>
            </w:pPr>
            <w:r w:rsidRPr="00EF0BAF">
              <w:rPr>
                <w:rFonts w:ascii="GHEA Grapalat" w:hAnsi="GHEA Grapalat" w:cs="Sylfaen"/>
                <w:i/>
                <w:sz w:val="16"/>
                <w:szCs w:val="16"/>
              </w:rPr>
              <w:t>Աղբյուրը՝ ՀՀ ԿԲ</w:t>
            </w:r>
          </w:p>
        </w:tc>
        <w:tc>
          <w:tcPr>
            <w:tcW w:w="2540" w:type="pct"/>
            <w:gridSpan w:val="2"/>
          </w:tcPr>
          <w:p w14:paraId="247F4ED1" w14:textId="77777777" w:rsidR="00D24FA0" w:rsidRPr="00EF0BAF" w:rsidRDefault="00D24FA0" w:rsidP="001A5DF8">
            <w:pPr>
              <w:spacing w:line="276" w:lineRule="auto"/>
              <w:jc w:val="both"/>
              <w:rPr>
                <w:rFonts w:ascii="GHEA Grapalat" w:eastAsia="GHEA Grapalat" w:hAnsi="GHEA Grapalat" w:cs="GHEA Grapalat"/>
                <w:b/>
                <w:i/>
                <w:sz w:val="16"/>
                <w:szCs w:val="16"/>
              </w:rPr>
            </w:pPr>
            <w:r w:rsidRPr="00EF0BAF">
              <w:rPr>
                <w:rFonts w:ascii="GHEA Grapalat" w:hAnsi="GHEA Grapalat" w:cs="Sylfaen"/>
                <w:i/>
                <w:sz w:val="16"/>
                <w:szCs w:val="16"/>
              </w:rPr>
              <w:t>Աղբյուրը՝ ՀՀ ԿԲ, ՀՀ ՖՆ հաշվարկներ</w:t>
            </w:r>
            <w:r w:rsidRPr="00EF0BAF" w:rsidDel="00B027E9">
              <w:rPr>
                <w:rFonts w:ascii="GHEA Grapalat" w:eastAsia="GHEA Grapalat" w:hAnsi="GHEA Grapalat" w:cs="GHEA Grapalat"/>
                <w:b/>
                <w:i/>
                <w:sz w:val="16"/>
                <w:szCs w:val="16"/>
              </w:rPr>
              <w:t xml:space="preserve"> </w:t>
            </w:r>
          </w:p>
        </w:tc>
      </w:tr>
    </w:tbl>
    <w:p w14:paraId="7A8DCD1B" w14:textId="77777777" w:rsidR="00172A42" w:rsidRPr="00172A42" w:rsidRDefault="00172A42" w:rsidP="00D24FA0">
      <w:pPr>
        <w:spacing w:line="276" w:lineRule="auto"/>
        <w:ind w:firstLine="567"/>
        <w:jc w:val="both"/>
        <w:rPr>
          <w:rFonts w:ascii="GHEA Grapalat" w:hAnsi="GHEA Grapalat" w:cs="GHEA Grapalat"/>
          <w:sz w:val="22"/>
          <w:szCs w:val="22"/>
        </w:rPr>
      </w:pPr>
    </w:p>
    <w:p w14:paraId="5B8197A5" w14:textId="4B223666" w:rsidR="00D24FA0" w:rsidRDefault="00D24FA0" w:rsidP="00D24FA0">
      <w:pPr>
        <w:spacing w:line="276" w:lineRule="auto"/>
        <w:ind w:firstLine="567"/>
        <w:jc w:val="both"/>
        <w:rPr>
          <w:rFonts w:ascii="GHEA Grapalat" w:hAnsi="GHEA Grapalat" w:cs="GHEA Grapalat"/>
          <w:sz w:val="22"/>
          <w:szCs w:val="22"/>
        </w:rPr>
      </w:pPr>
      <w:r w:rsidRPr="00EF0BAF">
        <w:rPr>
          <w:rFonts w:ascii="GHEA Grapalat" w:eastAsia="GHEA Grapalat" w:hAnsi="GHEA Grapalat" w:cs="GHEA Grapalat"/>
          <w:b/>
          <w:i/>
          <w:sz w:val="22"/>
          <w:szCs w:val="22"/>
        </w:rPr>
        <w:t>Արդյունավետ փոխարժեքներ:</w:t>
      </w:r>
      <w:r w:rsidRPr="00EF0BAF">
        <w:rPr>
          <w:rFonts w:ascii="GHEA Grapalat" w:eastAsia="GHEA Grapalat" w:hAnsi="GHEA Grapalat" w:cs="GHEA Grapalat"/>
          <w:sz w:val="22"/>
          <w:szCs w:val="22"/>
        </w:rPr>
        <w:t xml:space="preserve"> </w:t>
      </w:r>
      <w:r w:rsidRPr="00EF0BAF">
        <w:rPr>
          <w:rFonts w:ascii="GHEA Grapalat" w:hAnsi="GHEA Grapalat" w:cs="GHEA Grapalat"/>
          <w:sz w:val="22"/>
          <w:szCs w:val="22"/>
        </w:rPr>
        <w:t xml:space="preserve">ՀՀ արտաքին առևտրի տեսանկյունից առավել կարևոր արժույթներից բաղկացած զամբյուղի նկատմամբ ՀՀ ազգային արժույթն անվանական արտահայտությամբ </w:t>
      </w:r>
      <w:r>
        <w:rPr>
          <w:rFonts w:ascii="GHEA Grapalat" w:hAnsi="GHEA Grapalat" w:cs="GHEA Grapalat"/>
          <w:sz w:val="22"/>
          <w:szCs w:val="22"/>
        </w:rPr>
        <w:t>202</w:t>
      </w:r>
      <w:r w:rsidRPr="00D0281A">
        <w:rPr>
          <w:rFonts w:ascii="GHEA Grapalat" w:hAnsi="GHEA Grapalat" w:cs="GHEA Grapalat"/>
          <w:sz w:val="22"/>
          <w:szCs w:val="22"/>
        </w:rPr>
        <w:t>6</w:t>
      </w:r>
      <w:r w:rsidRPr="00EF0BAF">
        <w:rPr>
          <w:rFonts w:ascii="GHEA Grapalat" w:hAnsi="GHEA Grapalat" w:cs="GHEA Grapalat"/>
          <w:sz w:val="22"/>
          <w:szCs w:val="22"/>
        </w:rPr>
        <w:t xml:space="preserve">թ. </w:t>
      </w:r>
      <w:r>
        <w:rPr>
          <w:rFonts w:ascii="GHEA Grapalat" w:hAnsi="GHEA Grapalat" w:cs="GHEA Grapalat"/>
          <w:sz w:val="22"/>
          <w:szCs w:val="22"/>
        </w:rPr>
        <w:t>հունվար-մայիսին</w:t>
      </w:r>
      <w:r w:rsidRPr="00EF0BAF">
        <w:rPr>
          <w:rFonts w:ascii="GHEA Grapalat" w:hAnsi="GHEA Grapalat" w:cs="GHEA Grapalat"/>
          <w:sz w:val="22"/>
          <w:szCs w:val="22"/>
        </w:rPr>
        <w:t xml:space="preserve"> նախորդ տարվա համապատասխան ժամանա</w:t>
      </w:r>
      <w:r>
        <w:rPr>
          <w:rFonts w:ascii="GHEA Grapalat" w:hAnsi="GHEA Grapalat" w:cs="GHEA Grapalat"/>
          <w:sz w:val="22"/>
          <w:szCs w:val="22"/>
        </w:rPr>
        <w:t>կահատվածի նկատմամբ արժեզրկվել է 0.1</w:t>
      </w:r>
      <w:r w:rsidRPr="00EF0BAF">
        <w:rPr>
          <w:rFonts w:ascii="GHEA Grapalat" w:hAnsi="GHEA Grapalat" w:cs="GHEA Grapalat"/>
          <w:sz w:val="22"/>
          <w:szCs w:val="22"/>
        </w:rPr>
        <w:t>%-ով, իսկ իրական արտահայտությամբ</w:t>
      </w:r>
      <w:r>
        <w:rPr>
          <w:rFonts w:ascii="GHEA Grapalat" w:hAnsi="GHEA Grapalat" w:cs="GHEA Grapalat"/>
          <w:sz w:val="22"/>
          <w:szCs w:val="22"/>
        </w:rPr>
        <w:t>՝ արժևորվել</w:t>
      </w:r>
      <w:r w:rsidRPr="00EF0BAF">
        <w:rPr>
          <w:rFonts w:ascii="GHEA Grapalat" w:hAnsi="GHEA Grapalat" w:cs="GHEA Grapalat"/>
          <w:sz w:val="22"/>
          <w:szCs w:val="22"/>
        </w:rPr>
        <w:t xml:space="preserve"> 0</w:t>
      </w:r>
      <w:r w:rsidRPr="00EF0BAF">
        <w:rPr>
          <w:rFonts w:ascii="Cambria Math" w:hAnsi="Cambria Math" w:cs="Cambria Math"/>
          <w:sz w:val="22"/>
          <w:szCs w:val="22"/>
        </w:rPr>
        <w:t>․</w:t>
      </w:r>
      <w:r>
        <w:rPr>
          <w:rFonts w:ascii="GHEA Grapalat" w:hAnsi="GHEA Grapalat" w:cs="GHEA Grapalat"/>
          <w:sz w:val="22"/>
          <w:szCs w:val="22"/>
        </w:rPr>
        <w:t>3</w:t>
      </w:r>
      <w:r w:rsidRPr="00EF0BAF">
        <w:rPr>
          <w:rFonts w:ascii="GHEA Grapalat" w:hAnsi="GHEA Grapalat" w:cs="GHEA Grapalat"/>
          <w:sz w:val="22"/>
          <w:szCs w:val="22"/>
        </w:rPr>
        <w:t>%</w:t>
      </w:r>
      <w:r w:rsidRPr="00EF0BAF">
        <w:rPr>
          <w:rFonts w:ascii="GHEA Grapalat" w:hAnsi="GHEA Grapalat" w:cs="GHEA Grapalat"/>
          <w:sz w:val="22"/>
          <w:szCs w:val="22"/>
        </w:rPr>
        <w:noBreakHyphen/>
        <w:t>ով։</w:t>
      </w:r>
    </w:p>
    <w:p w14:paraId="7DB06F31" w14:textId="77777777" w:rsidR="00441A2F" w:rsidRPr="00DE5785" w:rsidRDefault="00441A2F" w:rsidP="00DE5785">
      <w:pPr>
        <w:spacing w:line="276" w:lineRule="auto"/>
        <w:ind w:firstLine="567"/>
        <w:jc w:val="both"/>
        <w:rPr>
          <w:rFonts w:ascii="GHEA Grapalat" w:hAnsi="GHEA Grapalat" w:cs="GHEA Grapalat"/>
          <w:sz w:val="22"/>
          <w:szCs w:val="22"/>
        </w:rPr>
      </w:pPr>
    </w:p>
    <w:p w14:paraId="0B60F1B9" w14:textId="499F41E9" w:rsidR="00F86947" w:rsidRPr="005D64AE" w:rsidRDefault="00F86947" w:rsidP="007E513A">
      <w:pPr>
        <w:pStyle w:val="Heading4"/>
        <w:numPr>
          <w:ilvl w:val="3"/>
          <w:numId w:val="43"/>
        </w:numPr>
        <w:ind w:left="567" w:firstLine="0"/>
        <w:rPr>
          <w:i w:val="0"/>
        </w:rPr>
      </w:pPr>
      <w:r w:rsidRPr="007E513A">
        <w:rPr>
          <w:i w:val="0"/>
        </w:rPr>
        <w:t>Ֆինանսական</w:t>
      </w:r>
      <w:r w:rsidRPr="005D64AE">
        <w:rPr>
          <w:i w:val="0"/>
        </w:rPr>
        <w:t xml:space="preserve"> շուկաներ</w:t>
      </w:r>
      <w:r w:rsidRPr="005D64AE">
        <w:rPr>
          <w:i w:val="0"/>
          <w:vertAlign w:val="superscript"/>
        </w:rPr>
        <w:footnoteReference w:id="16"/>
      </w:r>
    </w:p>
    <w:p w14:paraId="3B250FC7" w14:textId="7D9755D6" w:rsidR="00742EB9" w:rsidRPr="00345A1C" w:rsidRDefault="00742EB9" w:rsidP="00742EB9">
      <w:pPr>
        <w:spacing w:line="276" w:lineRule="auto"/>
        <w:ind w:firstLine="567"/>
        <w:jc w:val="both"/>
        <w:rPr>
          <w:rFonts w:ascii="GHEA Grapalat" w:hAnsi="GHEA Grapalat" w:cs="GHEA Grapalat"/>
          <w:sz w:val="22"/>
          <w:szCs w:val="22"/>
        </w:rPr>
      </w:pPr>
      <w:r w:rsidRPr="00345A1C">
        <w:rPr>
          <w:rFonts w:ascii="GHEA Grapalat" w:hAnsi="GHEA Grapalat" w:cs="GHEA Grapalat"/>
          <w:b/>
          <w:i/>
          <w:sz w:val="22"/>
          <w:szCs w:val="22"/>
        </w:rPr>
        <w:t>Վարկեր և ավանդներ:</w:t>
      </w:r>
      <w:r w:rsidRPr="00345A1C">
        <w:rPr>
          <w:rFonts w:ascii="GHEA Grapalat" w:hAnsi="GHEA Grapalat" w:cs="GHEA Grapalat"/>
          <w:sz w:val="22"/>
          <w:szCs w:val="22"/>
        </w:rPr>
        <w:t xml:space="preserve"> </w:t>
      </w:r>
      <w:r w:rsidRPr="00DE5785">
        <w:rPr>
          <w:rFonts w:ascii="GHEA Grapalat" w:hAnsi="GHEA Grapalat" w:cs="GHEA Grapalat"/>
          <w:sz w:val="22"/>
          <w:szCs w:val="22"/>
        </w:rPr>
        <w:t xml:space="preserve">Բանկային համակարգի ֆինանսական միջնորդությունը 2026թ. առաջին </w:t>
      </w:r>
      <w:r>
        <w:rPr>
          <w:rFonts w:ascii="GHEA Grapalat" w:hAnsi="GHEA Grapalat" w:cs="GHEA Grapalat"/>
          <w:sz w:val="22"/>
          <w:szCs w:val="22"/>
        </w:rPr>
        <w:t>կիսամյակում</w:t>
      </w:r>
      <w:r w:rsidRPr="00DE5785">
        <w:rPr>
          <w:rFonts w:ascii="GHEA Grapalat" w:hAnsi="GHEA Grapalat" w:cs="GHEA Grapalat"/>
          <w:sz w:val="22"/>
          <w:szCs w:val="22"/>
        </w:rPr>
        <w:t xml:space="preserve"> բնութագրվում է </w:t>
      </w:r>
      <w:r w:rsidR="00A906CE">
        <w:rPr>
          <w:rFonts w:ascii="GHEA Grapalat" w:hAnsi="GHEA Grapalat" w:cs="GHEA Grapalat"/>
          <w:sz w:val="22"/>
          <w:szCs w:val="22"/>
        </w:rPr>
        <w:t xml:space="preserve">ռեզիդենտների </w:t>
      </w:r>
      <w:r w:rsidR="00167FF4" w:rsidRPr="00DE5785">
        <w:rPr>
          <w:rFonts w:ascii="GHEA Grapalat" w:hAnsi="GHEA Grapalat" w:cs="GHEA Grapalat"/>
          <w:sz w:val="22"/>
          <w:szCs w:val="22"/>
        </w:rPr>
        <w:t>ավանդների</w:t>
      </w:r>
      <w:r w:rsidRPr="00DE5785">
        <w:rPr>
          <w:rFonts w:ascii="GHEA Grapalat" w:hAnsi="GHEA Grapalat" w:cs="GHEA Grapalat"/>
          <w:sz w:val="22"/>
          <w:szCs w:val="22"/>
        </w:rPr>
        <w:t>՝</w:t>
      </w:r>
      <w:r w:rsidR="00167FF4">
        <w:rPr>
          <w:rFonts w:ascii="GHEA Grapalat" w:hAnsi="GHEA Grapalat" w:cs="GHEA Grapalat"/>
          <w:sz w:val="22"/>
          <w:szCs w:val="22"/>
        </w:rPr>
        <w:t xml:space="preserve"> </w:t>
      </w:r>
      <w:r w:rsidR="00167FF4" w:rsidRPr="00DE5785">
        <w:rPr>
          <w:rFonts w:ascii="GHEA Grapalat" w:hAnsi="GHEA Grapalat" w:cs="GHEA Grapalat"/>
          <w:sz w:val="22"/>
          <w:szCs w:val="22"/>
        </w:rPr>
        <w:t>վարկավորման</w:t>
      </w:r>
      <w:r w:rsidRPr="00DE5785">
        <w:rPr>
          <w:rFonts w:ascii="GHEA Grapalat" w:hAnsi="GHEA Grapalat" w:cs="GHEA Grapalat"/>
          <w:sz w:val="22"/>
          <w:szCs w:val="22"/>
        </w:rPr>
        <w:t xml:space="preserve"> նկատմամբ առաջանցիկ աճի միտումներով: </w:t>
      </w:r>
      <w:r w:rsidRPr="00D10479">
        <w:rPr>
          <w:rFonts w:ascii="GHEA Grapalat" w:hAnsi="GHEA Grapalat" w:cs="GHEA Grapalat"/>
          <w:sz w:val="22"/>
          <w:szCs w:val="22"/>
        </w:rPr>
        <w:t>2022թ.</w:t>
      </w:r>
      <w:r>
        <w:rPr>
          <w:rFonts w:ascii="GHEA Grapalat" w:hAnsi="GHEA Grapalat" w:cs="GHEA Grapalat"/>
          <w:sz w:val="22"/>
          <w:szCs w:val="22"/>
        </w:rPr>
        <w:t xml:space="preserve"> հունիսից ձևավորված ավանդների և վարկերի դրական տարբերությունը, որը նույն տարվա դեկտեմբերին հասել էր 913 մլրդ դրամի</w:t>
      </w:r>
      <w:r>
        <w:rPr>
          <w:rFonts w:ascii="GHEA Grapalat" w:hAnsi="GHEA Grapalat" w:cs="GHEA Grapalat"/>
          <w:b/>
          <w:sz w:val="22"/>
          <w:szCs w:val="22"/>
        </w:rPr>
        <w:t xml:space="preserve">, </w:t>
      </w:r>
      <w:r>
        <w:rPr>
          <w:rFonts w:ascii="GHEA Grapalat" w:hAnsi="GHEA Grapalat" w:cs="GHEA Grapalat"/>
          <w:sz w:val="22"/>
          <w:szCs w:val="22"/>
        </w:rPr>
        <w:t>հետագայում՝ վարկավորման ակտիվ ընդլայնմանը զուգահեռ, նվազել է, իսկ 2025թ</w:t>
      </w:r>
      <w:r>
        <w:rPr>
          <w:rFonts w:ascii="Cambria Math" w:hAnsi="Cambria Math" w:cs="GHEA Grapalat"/>
          <w:sz w:val="22"/>
          <w:szCs w:val="22"/>
        </w:rPr>
        <w:t>․-</w:t>
      </w:r>
      <w:r>
        <w:rPr>
          <w:rFonts w:ascii="GHEA Grapalat" w:hAnsi="GHEA Grapalat" w:cs="GHEA Grapalat"/>
          <w:sz w:val="22"/>
          <w:szCs w:val="22"/>
        </w:rPr>
        <w:t>ից դարձել է բացասական և շարունակել խորանալ:</w:t>
      </w:r>
      <w:r>
        <w:rPr>
          <w:rFonts w:ascii="GHEA Grapalat" w:hAnsi="GHEA Grapalat" w:cs="GHEA Grapalat"/>
          <w:b/>
          <w:sz w:val="22"/>
          <w:szCs w:val="22"/>
        </w:rPr>
        <w:t xml:space="preserve"> </w:t>
      </w:r>
      <w:r w:rsidRPr="00345A1C">
        <w:rPr>
          <w:rFonts w:ascii="GHEA Grapalat" w:hAnsi="GHEA Grapalat" w:cs="GHEA Grapalat"/>
          <w:sz w:val="22"/>
          <w:szCs w:val="22"/>
        </w:rPr>
        <w:lastRenderedPageBreak/>
        <w:t xml:space="preserve">Վարկերի աճի արագացմանը զուգահեռ աճը դարձել է առավել ընդգրկուն՝ </w:t>
      </w:r>
      <w:r>
        <w:rPr>
          <w:rFonts w:ascii="GHEA Grapalat" w:hAnsi="GHEA Grapalat" w:cs="GHEA Grapalat"/>
          <w:sz w:val="22"/>
          <w:szCs w:val="22"/>
        </w:rPr>
        <w:t>ներառելով</w:t>
      </w:r>
      <w:r w:rsidRPr="00345A1C">
        <w:rPr>
          <w:rFonts w:ascii="GHEA Grapalat" w:hAnsi="GHEA Grapalat" w:cs="GHEA Grapalat"/>
          <w:sz w:val="22"/>
          <w:szCs w:val="22"/>
        </w:rPr>
        <w:t xml:space="preserve"> տնտեսության բոլոր ոլորտները։</w:t>
      </w:r>
    </w:p>
    <w:p w14:paraId="17DB225B" w14:textId="77777777" w:rsidR="00742EB9" w:rsidRDefault="00742EB9" w:rsidP="00742EB9">
      <w:pPr>
        <w:spacing w:line="276" w:lineRule="auto"/>
        <w:ind w:firstLine="567"/>
        <w:jc w:val="both"/>
        <w:rPr>
          <w:rFonts w:ascii="GHEA Grapalat" w:hAnsi="GHEA Grapalat" w:cs="GHEA Grapalat"/>
          <w:sz w:val="22"/>
          <w:szCs w:val="22"/>
        </w:rPr>
      </w:pPr>
      <w:r w:rsidRPr="00297622">
        <w:rPr>
          <w:rFonts w:ascii="GHEA Grapalat" w:hAnsi="GHEA Grapalat" w:cs="GHEA Grapalat"/>
          <w:sz w:val="22"/>
          <w:szCs w:val="22"/>
        </w:rPr>
        <w:t xml:space="preserve">2026թ. առաջին </w:t>
      </w:r>
      <w:r>
        <w:rPr>
          <w:rFonts w:ascii="GHEA Grapalat" w:hAnsi="GHEA Grapalat" w:cs="GHEA Grapalat"/>
          <w:sz w:val="22"/>
          <w:szCs w:val="22"/>
        </w:rPr>
        <w:t>կիսամյակում</w:t>
      </w:r>
      <w:r w:rsidRPr="00297622">
        <w:rPr>
          <w:rFonts w:ascii="GHEA Grapalat" w:hAnsi="GHEA Grapalat" w:cs="GHEA Grapalat"/>
          <w:sz w:val="22"/>
          <w:szCs w:val="22"/>
        </w:rPr>
        <w:t xml:space="preserve"> վարկերի ծավալների աճի տեմպը պահպանվել է բարձր մակարդակում՝ թեև նախորդ տարվա համեմատ որոշակի</w:t>
      </w:r>
      <w:r>
        <w:rPr>
          <w:rFonts w:ascii="GHEA Grapalat" w:hAnsi="GHEA Grapalat" w:cs="GHEA Grapalat"/>
          <w:sz w:val="22"/>
          <w:szCs w:val="22"/>
        </w:rPr>
        <w:t>որեն</w:t>
      </w:r>
      <w:r w:rsidRPr="00297622">
        <w:rPr>
          <w:rFonts w:ascii="GHEA Grapalat" w:hAnsi="GHEA Grapalat" w:cs="GHEA Grapalat"/>
          <w:sz w:val="22"/>
          <w:szCs w:val="22"/>
        </w:rPr>
        <w:t xml:space="preserve"> դանդաղել է: 2026թ. </w:t>
      </w:r>
      <w:r>
        <w:rPr>
          <w:rFonts w:ascii="GHEA Grapalat" w:hAnsi="GHEA Grapalat" w:cs="GHEA Grapalat"/>
          <w:sz w:val="22"/>
          <w:szCs w:val="22"/>
        </w:rPr>
        <w:t>հունիսին</w:t>
      </w:r>
      <w:r w:rsidRPr="00297622">
        <w:rPr>
          <w:rFonts w:ascii="GHEA Grapalat" w:hAnsi="GHEA Grapalat" w:cs="GHEA Grapalat"/>
          <w:sz w:val="22"/>
          <w:szCs w:val="22"/>
        </w:rPr>
        <w:t xml:space="preserve"> առևտրային բանկերի կողմից ռեզիդենտներին տրամադրված վարկերի ծավալների աճը նախորդ տարվա նույն ամսվա նկատմամբ կազմել է 2</w:t>
      </w:r>
      <w:r>
        <w:rPr>
          <w:rFonts w:ascii="GHEA Grapalat" w:hAnsi="GHEA Grapalat" w:cs="GHEA Grapalat"/>
          <w:sz w:val="22"/>
          <w:szCs w:val="22"/>
        </w:rPr>
        <w:t>2</w:t>
      </w:r>
      <w:r w:rsidRPr="00297622">
        <w:rPr>
          <w:rFonts w:ascii="GHEA Grapalat" w:hAnsi="GHEA Grapalat" w:cs="GHEA Grapalat"/>
          <w:sz w:val="22"/>
          <w:szCs w:val="22"/>
        </w:rPr>
        <w:t>.</w:t>
      </w:r>
      <w:r>
        <w:rPr>
          <w:rFonts w:ascii="GHEA Grapalat" w:hAnsi="GHEA Grapalat" w:cs="GHEA Grapalat"/>
          <w:sz w:val="22"/>
          <w:szCs w:val="22"/>
        </w:rPr>
        <w:t>6</w:t>
      </w:r>
      <w:r w:rsidRPr="00297622">
        <w:rPr>
          <w:rFonts w:ascii="GHEA Grapalat" w:hAnsi="GHEA Grapalat" w:cs="GHEA Grapalat"/>
          <w:sz w:val="22"/>
          <w:szCs w:val="22"/>
        </w:rPr>
        <w:t>%</w:t>
      </w:r>
      <w:r w:rsidRPr="00E15036">
        <w:rPr>
          <w:rFonts w:ascii="GHEA Grapalat" w:hAnsi="GHEA Grapalat" w:cs="GHEA Grapalat"/>
          <w:sz w:val="22"/>
          <w:szCs w:val="22"/>
          <w:vertAlign w:val="superscript"/>
        </w:rPr>
        <w:footnoteReference w:id="17"/>
      </w:r>
      <w:r w:rsidRPr="00297622">
        <w:rPr>
          <w:rFonts w:ascii="GHEA Grapalat" w:hAnsi="GHEA Grapalat" w:cs="GHEA Grapalat"/>
          <w:sz w:val="22"/>
          <w:szCs w:val="22"/>
        </w:rPr>
        <w:t xml:space="preserve">՝ (2025թ. </w:t>
      </w:r>
      <w:r>
        <w:rPr>
          <w:rFonts w:ascii="GHEA Grapalat" w:hAnsi="GHEA Grapalat" w:cs="GHEA Grapalat"/>
          <w:sz w:val="22"/>
          <w:szCs w:val="22"/>
        </w:rPr>
        <w:t>հունիսին</w:t>
      </w:r>
      <w:r w:rsidRPr="00297622">
        <w:rPr>
          <w:rFonts w:ascii="GHEA Grapalat" w:hAnsi="GHEA Grapalat" w:cs="GHEA Grapalat"/>
          <w:sz w:val="22"/>
          <w:szCs w:val="22"/>
        </w:rPr>
        <w:t>՝ 29.</w:t>
      </w:r>
      <w:r>
        <w:rPr>
          <w:rFonts w:ascii="GHEA Grapalat" w:hAnsi="GHEA Grapalat" w:cs="GHEA Grapalat"/>
          <w:sz w:val="22"/>
          <w:szCs w:val="22"/>
        </w:rPr>
        <w:t>9</w:t>
      </w:r>
      <w:r w:rsidRPr="00297622">
        <w:rPr>
          <w:rFonts w:ascii="GHEA Grapalat" w:hAnsi="GHEA Grapalat" w:cs="GHEA Grapalat"/>
          <w:sz w:val="22"/>
          <w:szCs w:val="22"/>
        </w:rPr>
        <w:t>%): Նշված ցուցանիշին 1</w:t>
      </w:r>
      <w:r>
        <w:rPr>
          <w:rFonts w:ascii="GHEA Grapalat" w:hAnsi="GHEA Grapalat" w:cs="GHEA Grapalat"/>
          <w:sz w:val="22"/>
          <w:szCs w:val="22"/>
        </w:rPr>
        <w:t>4</w:t>
      </w:r>
      <w:r w:rsidRPr="00297622">
        <w:rPr>
          <w:rFonts w:ascii="GHEA Grapalat" w:hAnsi="GHEA Grapalat" w:cs="GHEA Grapalat"/>
          <w:sz w:val="22"/>
          <w:szCs w:val="22"/>
        </w:rPr>
        <w:t>.</w:t>
      </w:r>
      <w:r>
        <w:rPr>
          <w:rFonts w:ascii="GHEA Grapalat" w:hAnsi="GHEA Grapalat" w:cs="GHEA Grapalat"/>
          <w:sz w:val="22"/>
          <w:szCs w:val="22"/>
        </w:rPr>
        <w:t>8</w:t>
      </w:r>
      <w:r w:rsidRPr="00297622">
        <w:rPr>
          <w:rFonts w:ascii="GHEA Grapalat" w:hAnsi="GHEA Grapalat" w:cs="GHEA Grapalat"/>
          <w:sz w:val="22"/>
          <w:szCs w:val="22"/>
        </w:rPr>
        <w:t xml:space="preserve"> տոկոսային կետով նպաստել է դրամային վարկերի աճը, իսկ արտարժութային վարկերի նպաստումը կազմել է 7.</w:t>
      </w:r>
      <w:r>
        <w:rPr>
          <w:rFonts w:ascii="GHEA Grapalat" w:hAnsi="GHEA Grapalat" w:cs="GHEA Grapalat"/>
          <w:sz w:val="22"/>
          <w:szCs w:val="22"/>
        </w:rPr>
        <w:t>8</w:t>
      </w:r>
      <w:r w:rsidRPr="00297622">
        <w:rPr>
          <w:rFonts w:ascii="GHEA Grapalat" w:hAnsi="GHEA Grapalat" w:cs="GHEA Grapalat"/>
          <w:sz w:val="22"/>
          <w:szCs w:val="22"/>
        </w:rPr>
        <w:t xml:space="preserve"> տոկոսային կետ:</w:t>
      </w:r>
    </w:p>
    <w:p w14:paraId="4CC1C776" w14:textId="77777777" w:rsidR="00742EB9" w:rsidRPr="00297622" w:rsidRDefault="00742EB9" w:rsidP="00742EB9">
      <w:pPr>
        <w:spacing w:line="276" w:lineRule="auto"/>
        <w:ind w:firstLine="567"/>
        <w:jc w:val="both"/>
        <w:rPr>
          <w:rFonts w:ascii="GHEA Grapalat" w:hAnsi="GHEA Grapalat" w:cs="GHEA Grapalat"/>
          <w:sz w:val="22"/>
          <w:szCs w:val="22"/>
        </w:rPr>
      </w:pPr>
    </w:p>
    <w:p w14:paraId="410DE1DE" w14:textId="77777777" w:rsidR="00742EB9" w:rsidRPr="00E15036" w:rsidRDefault="00742EB9" w:rsidP="00F73C0E">
      <w:pPr>
        <w:pStyle w:val="a0"/>
      </w:pPr>
      <w:r w:rsidRPr="00F71407">
        <w:t>Ռեզիդենտների</w:t>
      </w:r>
      <w:r w:rsidRPr="00E15036">
        <w:t xml:space="preserve"> վարկերի և ավանդների ծավալների աճը (նախորդ տարվա նկատմամբ, %)</w:t>
      </w:r>
    </w:p>
    <w:p w14:paraId="4C9EDFFC" w14:textId="77777777" w:rsidR="00742EB9" w:rsidRPr="00046B7D" w:rsidRDefault="00742EB9" w:rsidP="00742EB9">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rPr>
        <w:t xml:space="preserve"> </w:t>
      </w:r>
      <w:r w:rsidRPr="00345A1C">
        <w:rPr>
          <w:rFonts w:ascii="GHEA Grapalat" w:hAnsi="GHEA Grapalat"/>
          <w:sz w:val="28"/>
          <w:lang w:val="en-US"/>
        </w:rPr>
        <w:drawing>
          <wp:inline distT="0" distB="0" distL="0" distR="0" wp14:anchorId="35033449" wp14:editId="564575E0">
            <wp:extent cx="3246893" cy="2663825"/>
            <wp:effectExtent l="0" t="0" r="10795" b="3175"/>
            <wp:docPr id="39"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345A1C">
        <w:rPr>
          <w:rFonts w:ascii="GHEA Grapalat" w:hAnsi="GHEA Grapalat"/>
          <w:sz w:val="28"/>
          <w:lang w:val="en-US"/>
        </w:rPr>
        <w:drawing>
          <wp:inline distT="0" distB="0" distL="0" distR="0" wp14:anchorId="3F55E2A0" wp14:editId="06AA0E26">
            <wp:extent cx="3168000" cy="2664000"/>
            <wp:effectExtent l="0" t="0" r="13970" b="3175"/>
            <wp:docPr id="40" name="Chart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345A1C">
        <w:rPr>
          <w:rFonts w:ascii="GHEA Grapalat" w:eastAsia="Calibri" w:hAnsi="GHEA Grapalat" w:cs="Sylfaen"/>
          <w:sz w:val="22"/>
          <w:szCs w:val="22"/>
        </w:rPr>
        <w:t xml:space="preserve"> </w:t>
      </w:r>
    </w:p>
    <w:p w14:paraId="06039454" w14:textId="77777777" w:rsidR="00742EB9" w:rsidRPr="00BC2C75" w:rsidRDefault="00742EB9" w:rsidP="00742EB9">
      <w:pPr>
        <w:spacing w:line="276" w:lineRule="auto"/>
        <w:jc w:val="both"/>
        <w:rPr>
          <w:rFonts w:ascii="GHEA Grapalat" w:hAnsi="GHEA Grapalat" w:cs="GHEA Grapalat"/>
          <w:i/>
          <w:sz w:val="16"/>
          <w:szCs w:val="16"/>
        </w:rPr>
      </w:pPr>
      <w:r w:rsidRPr="00BC2C75">
        <w:rPr>
          <w:rFonts w:ascii="GHEA Grapalat" w:hAnsi="GHEA Grapalat" w:cs="Sylfaen"/>
          <w:i/>
          <w:sz w:val="16"/>
          <w:szCs w:val="16"/>
        </w:rPr>
        <w:t>Աղբյուրը՝</w:t>
      </w:r>
      <w:r>
        <w:rPr>
          <w:rFonts w:ascii="GHEA Grapalat" w:hAnsi="GHEA Grapalat" w:cs="Sylfaen"/>
          <w:i/>
          <w:sz w:val="16"/>
          <w:szCs w:val="16"/>
        </w:rPr>
        <w:t xml:space="preserve"> ՀՀ ԿԲ և ՀՀ ՖՆ հաշվարկներ: </w:t>
      </w:r>
    </w:p>
    <w:p w14:paraId="525DFC75" w14:textId="77777777" w:rsidR="00742EB9" w:rsidRDefault="00742EB9" w:rsidP="00742EB9">
      <w:pPr>
        <w:spacing w:line="276" w:lineRule="auto"/>
        <w:ind w:firstLine="567"/>
        <w:jc w:val="both"/>
        <w:rPr>
          <w:rFonts w:ascii="GHEA Grapalat" w:eastAsia="Calibri" w:hAnsi="GHEA Grapalat" w:cs="Sylfaen"/>
          <w:sz w:val="22"/>
          <w:szCs w:val="22"/>
        </w:rPr>
      </w:pPr>
    </w:p>
    <w:p w14:paraId="7AAAF934" w14:textId="46558BE3" w:rsidR="00742EB9" w:rsidRPr="00345A1C" w:rsidRDefault="00742EB9" w:rsidP="00742EB9">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Վարկերի աճը հիմնականում պայմանավորվել է սպառողական</w:t>
      </w:r>
      <w:r>
        <w:rPr>
          <w:rFonts w:ascii="GHEA Grapalat" w:eastAsia="Calibri" w:hAnsi="GHEA Grapalat" w:cs="Sylfaen"/>
          <w:sz w:val="22"/>
          <w:szCs w:val="22"/>
        </w:rPr>
        <w:t xml:space="preserve"> </w:t>
      </w:r>
      <w:r w:rsidRPr="00345A1C">
        <w:rPr>
          <w:rFonts w:ascii="GHEA Grapalat" w:eastAsia="Calibri" w:hAnsi="GHEA Grapalat" w:cs="Sylfaen"/>
          <w:sz w:val="22"/>
          <w:szCs w:val="22"/>
        </w:rPr>
        <w:t xml:space="preserve">(աճը՝ </w:t>
      </w:r>
      <w:r>
        <w:rPr>
          <w:rFonts w:ascii="GHEA Grapalat" w:eastAsia="Calibri" w:hAnsi="GHEA Grapalat" w:cs="Sylfaen"/>
          <w:sz w:val="22"/>
          <w:szCs w:val="22"/>
        </w:rPr>
        <w:t>27</w:t>
      </w:r>
      <w:r w:rsidRPr="00D10479">
        <w:rPr>
          <w:rFonts w:ascii="GHEA Grapalat" w:eastAsia="Calibri" w:hAnsi="GHEA Grapalat" w:cs="Sylfaen"/>
          <w:sz w:val="22"/>
          <w:szCs w:val="22"/>
        </w:rPr>
        <w:t>.</w:t>
      </w:r>
      <w:r>
        <w:rPr>
          <w:rFonts w:ascii="GHEA Grapalat" w:eastAsia="Calibri" w:hAnsi="GHEA Grapalat" w:cs="Sylfaen"/>
          <w:sz w:val="22"/>
          <w:szCs w:val="22"/>
        </w:rPr>
        <w:t>5</w:t>
      </w:r>
      <w:r w:rsidRPr="00345A1C">
        <w:rPr>
          <w:rFonts w:ascii="GHEA Grapalat" w:eastAsia="Calibri" w:hAnsi="GHEA Grapalat" w:cs="Sylfaen"/>
          <w:sz w:val="22"/>
          <w:szCs w:val="22"/>
        </w:rPr>
        <w:t xml:space="preserve">%, նպաստումը՝ </w:t>
      </w:r>
      <w:r>
        <w:rPr>
          <w:rFonts w:ascii="GHEA Grapalat" w:eastAsia="Calibri" w:hAnsi="GHEA Grapalat" w:cs="Sylfaen"/>
          <w:sz w:val="22"/>
          <w:szCs w:val="22"/>
        </w:rPr>
        <w:t>6.3</w:t>
      </w:r>
      <w:r w:rsidRPr="00345A1C">
        <w:rPr>
          <w:rFonts w:ascii="GHEA Grapalat" w:eastAsia="Calibri" w:hAnsi="GHEA Grapalat" w:cs="Sylfaen"/>
          <w:sz w:val="22"/>
          <w:szCs w:val="22"/>
        </w:rPr>
        <w:t xml:space="preserve"> տոկոսային կետ)</w:t>
      </w:r>
      <w:r>
        <w:rPr>
          <w:rFonts w:ascii="GHEA Grapalat" w:eastAsia="Calibri" w:hAnsi="GHEA Grapalat" w:cs="Sylfaen"/>
          <w:sz w:val="22"/>
          <w:szCs w:val="22"/>
        </w:rPr>
        <w:t xml:space="preserve">, ֆինանսական և ապահովագրական գործունեության </w:t>
      </w:r>
      <w:r w:rsidRPr="00345A1C">
        <w:rPr>
          <w:rFonts w:ascii="GHEA Grapalat" w:eastAsia="Calibri" w:hAnsi="GHEA Grapalat" w:cs="Sylfaen"/>
          <w:sz w:val="22"/>
          <w:szCs w:val="22"/>
        </w:rPr>
        <w:t>(աճը՝</w:t>
      </w:r>
      <w:r>
        <w:rPr>
          <w:rFonts w:ascii="GHEA Grapalat" w:eastAsia="Calibri" w:hAnsi="GHEA Grapalat" w:cs="Sylfaen"/>
          <w:sz w:val="22"/>
          <w:szCs w:val="22"/>
        </w:rPr>
        <w:t xml:space="preserve"> 82.8</w:t>
      </w:r>
      <w:r w:rsidRPr="00345A1C">
        <w:rPr>
          <w:rFonts w:ascii="GHEA Grapalat" w:eastAsia="Calibri" w:hAnsi="GHEA Grapalat" w:cs="Sylfaen"/>
          <w:sz w:val="22"/>
          <w:szCs w:val="22"/>
        </w:rPr>
        <w:t>%, նպաստումը՝</w:t>
      </w:r>
      <w:r>
        <w:rPr>
          <w:rFonts w:ascii="GHEA Grapalat" w:eastAsia="Calibri" w:hAnsi="GHEA Grapalat" w:cs="Sylfaen"/>
          <w:sz w:val="22"/>
          <w:szCs w:val="22"/>
        </w:rPr>
        <w:t xml:space="preserve"> 5.7</w:t>
      </w:r>
      <w:r w:rsidRPr="00345A1C">
        <w:rPr>
          <w:rFonts w:ascii="GHEA Grapalat" w:eastAsia="Calibri" w:hAnsi="GHEA Grapalat" w:cs="Sylfaen"/>
          <w:sz w:val="22"/>
          <w:szCs w:val="22"/>
        </w:rPr>
        <w:t xml:space="preserve"> տոկոսային կետ)</w:t>
      </w:r>
      <w:r>
        <w:rPr>
          <w:rFonts w:ascii="GHEA Grapalat" w:eastAsia="Calibri" w:hAnsi="GHEA Grapalat" w:cs="Sylfaen"/>
          <w:sz w:val="22"/>
          <w:szCs w:val="22"/>
        </w:rPr>
        <w:t xml:space="preserve"> և հիպոտեկ</w:t>
      </w:r>
      <w:r w:rsidRPr="00345A1C">
        <w:rPr>
          <w:rFonts w:ascii="GHEA Grapalat" w:eastAsia="Calibri" w:hAnsi="GHEA Grapalat" w:cs="Sylfaen"/>
          <w:sz w:val="22"/>
          <w:szCs w:val="22"/>
        </w:rPr>
        <w:t>ային (աճը՝</w:t>
      </w:r>
      <w:r>
        <w:rPr>
          <w:rFonts w:ascii="GHEA Grapalat" w:eastAsia="Calibri" w:hAnsi="GHEA Grapalat" w:cs="Sylfaen"/>
          <w:sz w:val="22"/>
          <w:szCs w:val="22"/>
        </w:rPr>
        <w:t xml:space="preserve"> 16.3</w:t>
      </w:r>
      <w:r w:rsidRPr="00345A1C">
        <w:rPr>
          <w:rFonts w:ascii="GHEA Grapalat" w:eastAsia="Calibri" w:hAnsi="GHEA Grapalat" w:cs="Sylfaen"/>
          <w:sz w:val="22"/>
          <w:szCs w:val="22"/>
        </w:rPr>
        <w:t>%, նպաստումը՝</w:t>
      </w:r>
      <w:r>
        <w:rPr>
          <w:rFonts w:ascii="GHEA Grapalat" w:eastAsia="Calibri" w:hAnsi="GHEA Grapalat" w:cs="Sylfaen"/>
          <w:sz w:val="22"/>
          <w:szCs w:val="22"/>
        </w:rPr>
        <w:t xml:space="preserve"> 3.6</w:t>
      </w:r>
      <w:r w:rsidRPr="00345A1C">
        <w:rPr>
          <w:rFonts w:ascii="GHEA Grapalat" w:eastAsia="Calibri" w:hAnsi="GHEA Grapalat" w:cs="Sylfaen"/>
          <w:sz w:val="22"/>
          <w:szCs w:val="22"/>
        </w:rPr>
        <w:t xml:space="preserve"> տոկոսային կետ)</w:t>
      </w:r>
      <w:r>
        <w:rPr>
          <w:rFonts w:ascii="GHEA Grapalat" w:eastAsia="Calibri" w:hAnsi="GHEA Grapalat" w:cs="Sylfaen"/>
          <w:sz w:val="22"/>
          <w:szCs w:val="22"/>
        </w:rPr>
        <w:t xml:space="preserve"> վարկերի աճերով։ Առավել փ</w:t>
      </w:r>
      <w:r w:rsidRPr="00345A1C">
        <w:rPr>
          <w:rFonts w:ascii="GHEA Grapalat" w:eastAsia="Calibri" w:hAnsi="GHEA Grapalat" w:cs="Sylfaen"/>
          <w:sz w:val="22"/>
          <w:szCs w:val="22"/>
        </w:rPr>
        <w:t xml:space="preserve">ոքր </w:t>
      </w:r>
      <w:r>
        <w:rPr>
          <w:rFonts w:ascii="GHEA Grapalat" w:eastAsia="Calibri" w:hAnsi="GHEA Grapalat" w:cs="Sylfaen"/>
          <w:sz w:val="22"/>
          <w:szCs w:val="22"/>
        </w:rPr>
        <w:t xml:space="preserve">նպաստումներ են գրանցել շինարարության, </w:t>
      </w:r>
      <w:r w:rsidRPr="00345A1C">
        <w:rPr>
          <w:rFonts w:ascii="GHEA Grapalat" w:eastAsia="Calibri" w:hAnsi="GHEA Grapalat" w:cs="Sylfaen"/>
          <w:sz w:val="22"/>
          <w:szCs w:val="22"/>
        </w:rPr>
        <w:t>տրանսպորտի և կապի</w:t>
      </w:r>
      <w:r>
        <w:rPr>
          <w:rFonts w:ascii="GHEA Grapalat" w:eastAsia="Calibri" w:hAnsi="GHEA Grapalat" w:cs="Sylfaen"/>
          <w:sz w:val="22"/>
          <w:szCs w:val="22"/>
        </w:rPr>
        <w:t xml:space="preserve">, արդյունաբերության, առևտրի և գյուղատնտեսության </w:t>
      </w:r>
      <w:r w:rsidRPr="00345A1C">
        <w:rPr>
          <w:rFonts w:ascii="GHEA Grapalat" w:eastAsia="Calibri" w:hAnsi="GHEA Grapalat" w:cs="Sylfaen"/>
          <w:sz w:val="22"/>
          <w:szCs w:val="22"/>
        </w:rPr>
        <w:t>ոլորտներին ուղղված վարկե</w:t>
      </w:r>
      <w:r>
        <w:rPr>
          <w:rFonts w:ascii="GHEA Grapalat" w:eastAsia="Calibri" w:hAnsi="GHEA Grapalat" w:cs="Sylfaen"/>
          <w:sz w:val="22"/>
          <w:szCs w:val="22"/>
        </w:rPr>
        <w:t>րը</w:t>
      </w:r>
      <w:r w:rsidRPr="00345A1C">
        <w:rPr>
          <w:rFonts w:ascii="GHEA Grapalat" w:eastAsia="Calibri" w:hAnsi="GHEA Grapalat" w:cs="Sylfaen"/>
          <w:sz w:val="22"/>
          <w:szCs w:val="22"/>
        </w:rPr>
        <w:t>։</w:t>
      </w:r>
    </w:p>
    <w:p w14:paraId="0C2744E4" w14:textId="6D1C998E" w:rsidR="00742EB9" w:rsidRPr="00345A1C" w:rsidRDefault="00742EB9" w:rsidP="00742EB9">
      <w:pPr>
        <w:spacing w:line="276" w:lineRule="auto"/>
        <w:ind w:firstLine="567"/>
        <w:jc w:val="both"/>
        <w:rPr>
          <w:rFonts w:ascii="GHEA Grapalat" w:eastAsia="Calibri" w:hAnsi="GHEA Grapalat" w:cs="Sylfaen"/>
          <w:sz w:val="22"/>
          <w:szCs w:val="22"/>
        </w:rPr>
      </w:pPr>
      <w:r w:rsidRPr="008A4814">
        <w:rPr>
          <w:rFonts w:ascii="GHEA Grapalat" w:eastAsia="Calibri" w:hAnsi="GHEA Grapalat" w:cs="Sylfaen"/>
          <w:sz w:val="22"/>
          <w:szCs w:val="22"/>
        </w:rPr>
        <w:t xml:space="preserve">2026թ. առաջին </w:t>
      </w:r>
      <w:r>
        <w:rPr>
          <w:rFonts w:ascii="GHEA Grapalat" w:eastAsia="Calibri" w:hAnsi="GHEA Grapalat" w:cs="Sylfaen"/>
          <w:sz w:val="22"/>
          <w:szCs w:val="22"/>
        </w:rPr>
        <w:t>կիսամյակում</w:t>
      </w:r>
      <w:r w:rsidRPr="008A4814">
        <w:rPr>
          <w:rFonts w:ascii="GHEA Grapalat" w:eastAsia="Calibri" w:hAnsi="GHEA Grapalat" w:cs="Sylfaen"/>
          <w:sz w:val="22"/>
          <w:szCs w:val="22"/>
        </w:rPr>
        <w:t xml:space="preserve"> ավանդների աճի տեմպը որոշակի</w:t>
      </w:r>
      <w:r>
        <w:rPr>
          <w:rFonts w:ascii="GHEA Grapalat" w:eastAsia="Calibri" w:hAnsi="GHEA Grapalat" w:cs="Sylfaen"/>
          <w:sz w:val="22"/>
          <w:szCs w:val="22"/>
        </w:rPr>
        <w:t>որեն</w:t>
      </w:r>
      <w:r w:rsidRPr="008A4814">
        <w:rPr>
          <w:rFonts w:ascii="GHEA Grapalat" w:eastAsia="Calibri" w:hAnsi="GHEA Grapalat" w:cs="Sylfaen"/>
          <w:sz w:val="22"/>
          <w:szCs w:val="22"/>
        </w:rPr>
        <w:t xml:space="preserve"> արագացել է նախորդ տարվա նույն ժամանակահատվածի համեմատությամբ: </w:t>
      </w:r>
      <w:r w:rsidRPr="00167E98">
        <w:rPr>
          <w:rFonts w:ascii="GHEA Grapalat" w:eastAsia="Calibri" w:hAnsi="GHEA Grapalat" w:cs="Sylfaen"/>
          <w:sz w:val="22"/>
          <w:szCs w:val="22"/>
        </w:rPr>
        <w:t>Առևտրային</w:t>
      </w:r>
      <w:r w:rsidRPr="00345A1C">
        <w:rPr>
          <w:rFonts w:ascii="GHEA Grapalat" w:eastAsia="Calibri" w:hAnsi="GHEA Grapalat" w:cs="Sylfaen"/>
          <w:sz w:val="22"/>
          <w:szCs w:val="22"/>
        </w:rPr>
        <w:t xml:space="preserve"> բանկերի կողմից ռեզիդենտներից ներգրավված ավանդներ</w:t>
      </w:r>
      <w:r>
        <w:rPr>
          <w:rFonts w:ascii="GHEA Grapalat" w:eastAsia="Calibri" w:hAnsi="GHEA Grapalat" w:cs="Sylfaen"/>
          <w:sz w:val="22"/>
          <w:szCs w:val="22"/>
        </w:rPr>
        <w:t>ի ծավալներն</w:t>
      </w:r>
      <w:r w:rsidRPr="00345A1C">
        <w:rPr>
          <w:rFonts w:ascii="GHEA Grapalat" w:eastAsia="Calibri" w:hAnsi="GHEA Grapalat" w:cs="Sylfaen"/>
          <w:sz w:val="22"/>
          <w:szCs w:val="22"/>
        </w:rPr>
        <w:t xml:space="preserve"> աճել են </w:t>
      </w:r>
      <w:r>
        <w:rPr>
          <w:rFonts w:ascii="GHEA Grapalat" w:eastAsia="Calibri" w:hAnsi="GHEA Grapalat" w:cs="Sylfaen"/>
          <w:sz w:val="22"/>
          <w:szCs w:val="22"/>
        </w:rPr>
        <w:t>24.3</w:t>
      </w:r>
      <w:r w:rsidRPr="00345A1C">
        <w:rPr>
          <w:rFonts w:ascii="GHEA Grapalat" w:eastAsia="Calibri" w:hAnsi="GHEA Grapalat" w:cs="Sylfaen"/>
          <w:sz w:val="22"/>
          <w:szCs w:val="22"/>
        </w:rPr>
        <w:t>%</w:t>
      </w:r>
      <w:r w:rsidRPr="00345A1C">
        <w:rPr>
          <w:rFonts w:ascii="GHEA Grapalat" w:eastAsia="Calibri" w:hAnsi="GHEA Grapalat" w:cs="Sylfaen"/>
          <w:sz w:val="22"/>
          <w:szCs w:val="22"/>
        </w:rPr>
        <w:noBreakHyphen/>
        <w:t>ով:</w:t>
      </w:r>
      <w:r>
        <w:rPr>
          <w:rFonts w:ascii="GHEA Grapalat" w:eastAsia="Calibri" w:hAnsi="GHEA Grapalat" w:cs="Sylfaen"/>
          <w:sz w:val="22"/>
          <w:szCs w:val="22"/>
        </w:rPr>
        <w:t xml:space="preserve"> </w:t>
      </w:r>
      <w:r w:rsidRPr="00345A1C">
        <w:rPr>
          <w:rFonts w:ascii="GHEA Grapalat" w:eastAsia="Calibri" w:hAnsi="GHEA Grapalat" w:cs="Sylfaen"/>
          <w:sz w:val="22"/>
          <w:szCs w:val="22"/>
        </w:rPr>
        <w:t>Արժութային կառուցվածքի տեսակետից</w:t>
      </w:r>
      <w:r>
        <w:rPr>
          <w:rFonts w:ascii="GHEA Grapalat" w:eastAsia="Calibri" w:hAnsi="GHEA Grapalat" w:cs="Sylfaen"/>
          <w:sz w:val="22"/>
          <w:szCs w:val="22"/>
        </w:rPr>
        <w:t xml:space="preserve"> ռեզիդենտների ավանդների աճին</w:t>
      </w:r>
      <w:r w:rsidRPr="00345A1C">
        <w:rPr>
          <w:rFonts w:ascii="GHEA Grapalat" w:eastAsia="Calibri" w:hAnsi="GHEA Grapalat" w:cs="Sylfaen"/>
          <w:sz w:val="22"/>
          <w:szCs w:val="22"/>
        </w:rPr>
        <w:t xml:space="preserve"> 1</w:t>
      </w:r>
      <w:r>
        <w:rPr>
          <w:rFonts w:ascii="GHEA Grapalat" w:eastAsia="Calibri" w:hAnsi="GHEA Grapalat" w:cs="Sylfaen"/>
          <w:sz w:val="22"/>
          <w:szCs w:val="22"/>
        </w:rPr>
        <w:t>9.7</w:t>
      </w:r>
      <w:r w:rsidRPr="00345A1C">
        <w:rPr>
          <w:rFonts w:ascii="GHEA Grapalat" w:eastAsia="Calibri" w:hAnsi="GHEA Grapalat" w:cs="Sylfaen"/>
          <w:sz w:val="22"/>
          <w:szCs w:val="22"/>
        </w:rPr>
        <w:t xml:space="preserve"> տոկոսային կետով նպաստում է ունեցել դրամային ավանդների աճը, իսկ արտարժութային ավանդների նպաստումը կազմել է </w:t>
      </w:r>
      <w:r>
        <w:rPr>
          <w:rFonts w:ascii="GHEA Grapalat" w:eastAsia="Calibri" w:hAnsi="GHEA Grapalat" w:cs="Sylfaen"/>
          <w:sz w:val="22"/>
          <w:szCs w:val="22"/>
        </w:rPr>
        <w:t>4.6</w:t>
      </w:r>
      <w:r w:rsidRPr="00345A1C">
        <w:rPr>
          <w:rFonts w:ascii="GHEA Grapalat" w:eastAsia="Calibri" w:hAnsi="GHEA Grapalat" w:cs="Sylfaen"/>
          <w:sz w:val="22"/>
          <w:szCs w:val="22"/>
        </w:rPr>
        <w:t xml:space="preserve"> տոկոսային կետ</w:t>
      </w:r>
      <w:r w:rsidR="005B0F25">
        <w:rPr>
          <w:rFonts w:ascii="GHEA Grapalat" w:eastAsia="Calibri" w:hAnsi="GHEA Grapalat" w:cs="Sylfaen"/>
          <w:sz w:val="22"/>
          <w:szCs w:val="22"/>
        </w:rPr>
        <w:t>:</w:t>
      </w:r>
    </w:p>
    <w:p w14:paraId="598AA230" w14:textId="77777777" w:rsidR="00742EB9" w:rsidRPr="00345A1C" w:rsidRDefault="00742EB9" w:rsidP="00742EB9">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Ոչ ռեզիդենտների ավանդները</w:t>
      </w:r>
      <w:r>
        <w:rPr>
          <w:rFonts w:ascii="GHEA Grapalat" w:eastAsia="Calibri" w:hAnsi="GHEA Grapalat" w:cs="Sylfaen"/>
          <w:sz w:val="22"/>
          <w:szCs w:val="22"/>
        </w:rPr>
        <w:t xml:space="preserve"> 2026</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հունիսին</w:t>
      </w:r>
      <w:r w:rsidRPr="00345A1C">
        <w:rPr>
          <w:rFonts w:ascii="GHEA Grapalat" w:eastAsia="Calibri" w:hAnsi="GHEA Grapalat" w:cs="Sylfaen"/>
          <w:sz w:val="22"/>
          <w:szCs w:val="22"/>
        </w:rPr>
        <w:t xml:space="preserve"> աճել են </w:t>
      </w:r>
      <w:r>
        <w:rPr>
          <w:rFonts w:ascii="GHEA Grapalat" w:eastAsia="Calibri" w:hAnsi="GHEA Grapalat" w:cs="Sylfaen"/>
          <w:sz w:val="22"/>
          <w:szCs w:val="22"/>
        </w:rPr>
        <w:t>8.1</w:t>
      </w:r>
      <w:r w:rsidRPr="00345A1C">
        <w:rPr>
          <w:rFonts w:ascii="GHEA Grapalat" w:eastAsia="Calibri" w:hAnsi="GHEA Grapalat" w:cs="Sylfaen"/>
          <w:sz w:val="22"/>
          <w:szCs w:val="22"/>
        </w:rPr>
        <w:t>%-ով</w:t>
      </w:r>
      <w:r>
        <w:rPr>
          <w:rFonts w:ascii="GHEA Grapalat" w:eastAsia="Calibri" w:hAnsi="GHEA Grapalat" w:cs="Sylfaen"/>
          <w:sz w:val="22"/>
          <w:szCs w:val="22"/>
        </w:rPr>
        <w:t xml:space="preserve">: </w:t>
      </w:r>
      <w:r w:rsidRPr="00345A1C">
        <w:rPr>
          <w:rFonts w:ascii="GHEA Grapalat" w:eastAsia="Calibri" w:hAnsi="GHEA Grapalat" w:cs="Sylfaen"/>
          <w:sz w:val="22"/>
          <w:szCs w:val="22"/>
        </w:rPr>
        <w:t>Ոչ ռեզիդենտների ավանդների կազմում արտարժութային ավա</w:t>
      </w:r>
      <w:r>
        <w:rPr>
          <w:rFonts w:ascii="GHEA Grapalat" w:eastAsia="Calibri" w:hAnsi="GHEA Grapalat" w:cs="Sylfaen"/>
          <w:sz w:val="22"/>
          <w:szCs w:val="22"/>
        </w:rPr>
        <w:t>ն</w:t>
      </w:r>
      <w:r w:rsidRPr="00345A1C">
        <w:rPr>
          <w:rFonts w:ascii="GHEA Grapalat" w:eastAsia="Calibri" w:hAnsi="GHEA Grapalat" w:cs="Sylfaen"/>
          <w:sz w:val="22"/>
          <w:szCs w:val="22"/>
        </w:rPr>
        <w:t xml:space="preserve">դների աճը կազմել է </w:t>
      </w:r>
      <w:r>
        <w:rPr>
          <w:rFonts w:ascii="GHEA Grapalat" w:eastAsia="Calibri" w:hAnsi="GHEA Grapalat" w:cs="Sylfaen"/>
          <w:sz w:val="22"/>
          <w:szCs w:val="22"/>
        </w:rPr>
        <w:t>5.8</w:t>
      </w:r>
      <w:r w:rsidRPr="00345A1C">
        <w:rPr>
          <w:rFonts w:ascii="GHEA Grapalat" w:eastAsia="Calibri" w:hAnsi="GHEA Grapalat" w:cs="Sylfaen"/>
          <w:sz w:val="22"/>
          <w:szCs w:val="22"/>
        </w:rPr>
        <w:t>% (նպաստումը՝</w:t>
      </w:r>
      <w:r>
        <w:rPr>
          <w:rFonts w:ascii="GHEA Grapalat" w:eastAsia="Calibri" w:hAnsi="GHEA Grapalat" w:cs="Sylfaen"/>
          <w:sz w:val="22"/>
          <w:szCs w:val="22"/>
        </w:rPr>
        <w:t>4.8</w:t>
      </w:r>
      <w:r w:rsidRPr="00345A1C">
        <w:rPr>
          <w:rFonts w:ascii="GHEA Grapalat" w:eastAsia="Calibri" w:hAnsi="GHEA Grapalat" w:cs="Sylfaen"/>
          <w:sz w:val="22"/>
          <w:szCs w:val="22"/>
        </w:rPr>
        <w:t xml:space="preserve"> տոկոսային կետ), դրամային ավանդների աճը</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19.1%</w:t>
      </w:r>
      <w:r w:rsidRPr="00345A1C">
        <w:rPr>
          <w:rFonts w:ascii="GHEA Grapalat" w:eastAsia="Calibri" w:hAnsi="GHEA Grapalat" w:cs="Sylfaen"/>
          <w:sz w:val="22"/>
          <w:szCs w:val="22"/>
        </w:rPr>
        <w:t xml:space="preserve"> </w:t>
      </w:r>
      <w:r w:rsidRPr="000D162B">
        <w:rPr>
          <w:rFonts w:ascii="GHEA Grapalat" w:eastAsia="Calibri" w:hAnsi="GHEA Grapalat" w:cs="Sylfaen"/>
          <w:sz w:val="22"/>
          <w:szCs w:val="22"/>
        </w:rPr>
        <w:t>(</w:t>
      </w:r>
      <w:r w:rsidRPr="00345A1C">
        <w:rPr>
          <w:rFonts w:ascii="GHEA Grapalat" w:eastAsia="Calibri" w:hAnsi="GHEA Grapalat" w:cs="Sylfaen"/>
          <w:sz w:val="22"/>
          <w:szCs w:val="22"/>
        </w:rPr>
        <w:t xml:space="preserve">նպաստումը՝ </w:t>
      </w:r>
      <w:r>
        <w:rPr>
          <w:rFonts w:ascii="GHEA Grapalat" w:eastAsia="Calibri" w:hAnsi="GHEA Grapalat" w:cs="Sylfaen"/>
          <w:sz w:val="22"/>
          <w:szCs w:val="22"/>
        </w:rPr>
        <w:t>3.2</w:t>
      </w:r>
      <w:r w:rsidRPr="00345A1C">
        <w:rPr>
          <w:rFonts w:ascii="GHEA Grapalat" w:eastAsia="Calibri" w:hAnsi="GHEA Grapalat" w:cs="Sylfaen"/>
          <w:sz w:val="22"/>
          <w:szCs w:val="22"/>
        </w:rPr>
        <w:t xml:space="preserve"> տոկոսային կետ</w:t>
      </w:r>
      <w:r w:rsidRPr="000D162B">
        <w:rPr>
          <w:rFonts w:ascii="GHEA Grapalat" w:eastAsia="Calibri" w:hAnsi="GHEA Grapalat" w:cs="Sylfaen"/>
          <w:sz w:val="22"/>
          <w:szCs w:val="22"/>
        </w:rPr>
        <w:t>)</w:t>
      </w:r>
      <w:r w:rsidRPr="00345A1C">
        <w:rPr>
          <w:rFonts w:ascii="GHEA Grapalat" w:eastAsia="Calibri" w:hAnsi="GHEA Grapalat" w:cs="Sylfaen"/>
          <w:sz w:val="22"/>
          <w:szCs w:val="22"/>
        </w:rPr>
        <w:t>: Միաժամանակ, ոչ ռեզիդենտների ավանդների ընթացիկ ցուցանիշները 2022</w:t>
      </w:r>
      <w:r>
        <w:rPr>
          <w:rFonts w:ascii="GHEA Grapalat" w:eastAsia="Calibri" w:hAnsi="GHEA Grapalat" w:cs="Sylfaen"/>
          <w:sz w:val="22"/>
          <w:szCs w:val="22"/>
        </w:rPr>
        <w:t>թ.</w:t>
      </w:r>
      <w:r w:rsidRPr="00345A1C">
        <w:rPr>
          <w:rFonts w:ascii="GHEA Grapalat" w:eastAsia="Calibri" w:hAnsi="GHEA Grapalat" w:cs="Sylfaen"/>
          <w:sz w:val="22"/>
          <w:szCs w:val="22"/>
        </w:rPr>
        <w:t xml:space="preserve"> փետրվարի ցուցանիշի համեմատ (մինչև </w:t>
      </w:r>
      <w:r w:rsidRPr="00345A1C">
        <w:rPr>
          <w:rFonts w:ascii="GHEA Grapalat" w:eastAsia="Calibri" w:hAnsi="GHEA Grapalat" w:cs="Sylfaen"/>
          <w:sz w:val="22"/>
          <w:szCs w:val="22"/>
        </w:rPr>
        <w:lastRenderedPageBreak/>
        <w:t xml:space="preserve">ՌԴ-ից մարդկանց ու կապիտալի ներհոսքը դեպի ՀՀ) շարունակում </w:t>
      </w:r>
      <w:r>
        <w:rPr>
          <w:rFonts w:ascii="GHEA Grapalat" w:eastAsia="Calibri" w:hAnsi="GHEA Grapalat" w:cs="Sylfaen"/>
          <w:sz w:val="22"/>
          <w:szCs w:val="22"/>
        </w:rPr>
        <w:t>են</w:t>
      </w:r>
      <w:r w:rsidRPr="00345A1C">
        <w:rPr>
          <w:rFonts w:ascii="GHEA Grapalat" w:eastAsia="Calibri" w:hAnsi="GHEA Grapalat" w:cs="Sylfaen"/>
          <w:sz w:val="22"/>
          <w:szCs w:val="22"/>
        </w:rPr>
        <w:t xml:space="preserve"> զգալիորեն բարձր մնալ՝</w:t>
      </w:r>
      <w:r>
        <w:rPr>
          <w:rFonts w:ascii="GHEA Grapalat" w:eastAsia="Calibri" w:hAnsi="GHEA Grapalat" w:cs="Sylfaen"/>
          <w:sz w:val="22"/>
          <w:szCs w:val="22"/>
        </w:rPr>
        <w:t xml:space="preserve"> 2026</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 xml:space="preserve">հունիսի </w:t>
      </w:r>
      <w:r w:rsidRPr="00345A1C">
        <w:rPr>
          <w:rFonts w:ascii="GHEA Grapalat" w:eastAsia="Calibri" w:hAnsi="GHEA Grapalat" w:cs="Sylfaen"/>
          <w:sz w:val="22"/>
          <w:szCs w:val="22"/>
        </w:rPr>
        <w:t xml:space="preserve">դրությամբ շուրջ </w:t>
      </w:r>
      <w:r w:rsidRPr="002C0883">
        <w:rPr>
          <w:rFonts w:ascii="GHEA Grapalat" w:eastAsia="Calibri" w:hAnsi="GHEA Grapalat" w:cs="Sylfaen"/>
          <w:sz w:val="22"/>
          <w:szCs w:val="22"/>
        </w:rPr>
        <w:t>90</w:t>
      </w:r>
      <w:r w:rsidRPr="00D10479">
        <w:rPr>
          <w:rFonts w:ascii="GHEA Grapalat" w:eastAsia="Calibri" w:hAnsi="GHEA Grapalat" w:cs="Sylfaen"/>
          <w:sz w:val="22"/>
          <w:szCs w:val="22"/>
        </w:rPr>
        <w:t>.</w:t>
      </w:r>
      <w:r w:rsidRPr="002C0883">
        <w:rPr>
          <w:rFonts w:ascii="GHEA Grapalat" w:eastAsia="Calibri" w:hAnsi="GHEA Grapalat" w:cs="Sylfaen"/>
          <w:sz w:val="22"/>
          <w:szCs w:val="22"/>
        </w:rPr>
        <w:t>3</w:t>
      </w:r>
      <w:r w:rsidRPr="00345A1C">
        <w:rPr>
          <w:rFonts w:ascii="GHEA Grapalat" w:eastAsia="Calibri" w:hAnsi="GHEA Grapalat" w:cs="Sylfaen"/>
          <w:sz w:val="22"/>
          <w:szCs w:val="22"/>
        </w:rPr>
        <w:t xml:space="preserve">%-ով կամ </w:t>
      </w:r>
      <w:r w:rsidRPr="00D10479">
        <w:rPr>
          <w:rFonts w:ascii="GHEA Grapalat" w:eastAsia="Calibri" w:hAnsi="GHEA Grapalat" w:cs="Sylfaen"/>
          <w:sz w:val="22"/>
          <w:szCs w:val="22"/>
        </w:rPr>
        <w:t>7</w:t>
      </w:r>
      <w:r w:rsidRPr="002C0883">
        <w:rPr>
          <w:rFonts w:ascii="GHEA Grapalat" w:eastAsia="Calibri" w:hAnsi="GHEA Grapalat" w:cs="Sylfaen"/>
          <w:sz w:val="22"/>
          <w:szCs w:val="22"/>
        </w:rPr>
        <w:t>87</w:t>
      </w:r>
      <w:r w:rsidRPr="00345A1C">
        <w:rPr>
          <w:rFonts w:ascii="GHEA Grapalat" w:eastAsia="Calibri" w:hAnsi="GHEA Grapalat" w:cs="Sylfaen"/>
          <w:sz w:val="22"/>
          <w:szCs w:val="22"/>
        </w:rPr>
        <w:t xml:space="preserve"> մլրդ դրամով։</w:t>
      </w:r>
    </w:p>
    <w:p w14:paraId="367CF097" w14:textId="0032F311" w:rsidR="00742EB9" w:rsidRDefault="00742EB9" w:rsidP="00742EB9">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w:t>
      </w:r>
      <w:r w:rsidRPr="00D10479">
        <w:rPr>
          <w:rFonts w:ascii="GHEA Grapalat" w:eastAsia="Calibri" w:hAnsi="GHEA Grapalat" w:cs="Sylfaen"/>
          <w:sz w:val="22"/>
          <w:szCs w:val="22"/>
        </w:rPr>
        <w:t>6</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հունիսին</w:t>
      </w:r>
      <w:r w:rsidRPr="00345A1C">
        <w:rPr>
          <w:rFonts w:ascii="GHEA Grapalat" w:eastAsia="Calibri" w:hAnsi="GHEA Grapalat" w:cs="Sylfaen"/>
          <w:sz w:val="22"/>
          <w:szCs w:val="22"/>
        </w:rPr>
        <w:t xml:space="preserve"> ավանդների դոլարայնացման մակարդակը</w:t>
      </w:r>
      <w:r>
        <w:rPr>
          <w:rFonts w:ascii="GHEA Grapalat" w:eastAsia="Calibri" w:hAnsi="GHEA Grapalat" w:cs="Sylfaen"/>
          <w:sz w:val="22"/>
          <w:szCs w:val="22"/>
        </w:rPr>
        <w:t xml:space="preserve">` </w:t>
      </w:r>
      <w:r w:rsidRPr="00345A1C">
        <w:rPr>
          <w:rFonts w:ascii="GHEA Grapalat" w:eastAsia="Calibri" w:hAnsi="GHEA Grapalat" w:cs="Sylfaen"/>
          <w:sz w:val="22"/>
          <w:szCs w:val="22"/>
        </w:rPr>
        <w:t xml:space="preserve">ի համեմատ նախորդ տարվա նույն </w:t>
      </w:r>
      <w:r>
        <w:rPr>
          <w:rFonts w:ascii="GHEA Grapalat" w:eastAsia="Calibri" w:hAnsi="GHEA Grapalat" w:cs="Sylfaen"/>
          <w:sz w:val="22"/>
          <w:szCs w:val="22"/>
        </w:rPr>
        <w:t>ամսվա,</w:t>
      </w:r>
      <w:r w:rsidRPr="00345A1C">
        <w:rPr>
          <w:rFonts w:ascii="GHEA Grapalat" w:eastAsia="Calibri" w:hAnsi="GHEA Grapalat" w:cs="Sylfaen"/>
          <w:sz w:val="22"/>
          <w:szCs w:val="22"/>
        </w:rPr>
        <w:t xml:space="preserve"> նվազել է </w:t>
      </w:r>
      <w:r w:rsidR="006E1007">
        <w:rPr>
          <w:rFonts w:ascii="GHEA Grapalat" w:eastAsia="Calibri" w:hAnsi="GHEA Grapalat" w:cs="Sylfaen"/>
          <w:sz w:val="22"/>
          <w:szCs w:val="22"/>
        </w:rPr>
        <w:t>4</w:t>
      </w:r>
      <w:r w:rsidRPr="00345A1C">
        <w:rPr>
          <w:rFonts w:ascii="GHEA Grapalat" w:eastAsia="Calibri" w:hAnsi="GHEA Grapalat" w:cs="Sylfaen"/>
          <w:sz w:val="22"/>
          <w:szCs w:val="22"/>
        </w:rPr>
        <w:t xml:space="preserve"> տոկոսային կետով` կազմելով 4</w:t>
      </w:r>
      <w:r w:rsidRPr="002C0883">
        <w:rPr>
          <w:rFonts w:ascii="GHEA Grapalat" w:eastAsia="Calibri" w:hAnsi="GHEA Grapalat" w:cs="Sylfaen"/>
          <w:sz w:val="22"/>
          <w:szCs w:val="22"/>
        </w:rPr>
        <w:t>2</w:t>
      </w:r>
      <w:r w:rsidRPr="00D10479">
        <w:rPr>
          <w:rFonts w:ascii="GHEA Grapalat" w:eastAsia="Calibri" w:hAnsi="GHEA Grapalat" w:cs="Sylfaen"/>
          <w:sz w:val="22"/>
          <w:szCs w:val="22"/>
        </w:rPr>
        <w:t>.</w:t>
      </w:r>
      <w:r w:rsidRPr="002C0883">
        <w:rPr>
          <w:rFonts w:ascii="GHEA Grapalat" w:eastAsia="Calibri" w:hAnsi="GHEA Grapalat" w:cs="Sylfaen"/>
          <w:sz w:val="22"/>
          <w:szCs w:val="22"/>
        </w:rPr>
        <w:t>3</w:t>
      </w:r>
      <w:r w:rsidRPr="00345A1C">
        <w:rPr>
          <w:rFonts w:ascii="GHEA Grapalat" w:eastAsia="Calibri" w:hAnsi="GHEA Grapalat" w:cs="Sylfaen"/>
          <w:sz w:val="22"/>
          <w:szCs w:val="22"/>
        </w:rPr>
        <w:t>%, իսկ վարկերի</w:t>
      </w:r>
      <w:r>
        <w:rPr>
          <w:rFonts w:ascii="GHEA Grapalat" w:eastAsia="Calibri" w:hAnsi="GHEA Grapalat" w:cs="Sylfaen"/>
          <w:sz w:val="22"/>
          <w:szCs w:val="22"/>
        </w:rPr>
        <w:t xml:space="preserve"> </w:t>
      </w:r>
      <w:r w:rsidRPr="00345A1C">
        <w:rPr>
          <w:rFonts w:ascii="GHEA Grapalat" w:eastAsia="Calibri" w:hAnsi="GHEA Grapalat" w:cs="Sylfaen"/>
          <w:sz w:val="22"/>
          <w:szCs w:val="22"/>
        </w:rPr>
        <w:t>դոլարայնացման մակարդակը կազմել</w:t>
      </w:r>
      <w:r>
        <w:rPr>
          <w:rFonts w:ascii="GHEA Grapalat" w:eastAsia="Calibri" w:hAnsi="GHEA Grapalat" w:cs="Sylfaen"/>
          <w:sz w:val="22"/>
          <w:szCs w:val="22"/>
        </w:rPr>
        <w:t xml:space="preserve"> է</w:t>
      </w:r>
      <w:r w:rsidRPr="00345A1C">
        <w:rPr>
          <w:rFonts w:ascii="GHEA Grapalat" w:eastAsia="Calibri" w:hAnsi="GHEA Grapalat" w:cs="Sylfaen"/>
          <w:sz w:val="22"/>
          <w:szCs w:val="22"/>
        </w:rPr>
        <w:t xml:space="preserve"> 3</w:t>
      </w:r>
      <w:r w:rsidRPr="002C0883">
        <w:rPr>
          <w:rFonts w:ascii="GHEA Grapalat" w:eastAsia="Calibri" w:hAnsi="GHEA Grapalat" w:cs="Sylfaen"/>
          <w:sz w:val="22"/>
          <w:szCs w:val="22"/>
        </w:rPr>
        <w:t>5</w:t>
      </w:r>
      <w:r w:rsidRPr="00345A1C">
        <w:rPr>
          <w:rFonts w:ascii="GHEA Grapalat" w:eastAsia="Calibri" w:hAnsi="GHEA Grapalat" w:cs="Sylfaen"/>
          <w:sz w:val="22"/>
          <w:szCs w:val="22"/>
        </w:rPr>
        <w:t>%</w:t>
      </w:r>
      <w:r>
        <w:rPr>
          <w:rFonts w:ascii="GHEA Grapalat" w:eastAsia="Calibri" w:hAnsi="GHEA Grapalat" w:cs="Sylfaen"/>
          <w:sz w:val="22"/>
          <w:szCs w:val="22"/>
        </w:rPr>
        <w:t xml:space="preserve">՝ աճելով </w:t>
      </w:r>
      <w:r w:rsidR="00FB71A3" w:rsidRPr="0049287E">
        <w:rPr>
          <w:rFonts w:ascii="GHEA Grapalat" w:eastAsia="Calibri" w:hAnsi="GHEA Grapalat" w:cs="Sylfaen"/>
          <w:sz w:val="22"/>
          <w:szCs w:val="22"/>
        </w:rPr>
        <w:t>1</w:t>
      </w:r>
      <w:r>
        <w:rPr>
          <w:rFonts w:ascii="GHEA Grapalat" w:eastAsia="Calibri" w:hAnsi="GHEA Grapalat" w:cs="Sylfaen"/>
          <w:sz w:val="22"/>
          <w:szCs w:val="22"/>
        </w:rPr>
        <w:t>.</w:t>
      </w:r>
      <w:r w:rsidR="00FB71A3" w:rsidRPr="0049287E">
        <w:rPr>
          <w:rFonts w:ascii="GHEA Grapalat" w:eastAsia="Calibri" w:hAnsi="GHEA Grapalat" w:cs="Sylfaen"/>
          <w:sz w:val="22"/>
          <w:szCs w:val="22"/>
        </w:rPr>
        <w:t>3</w:t>
      </w:r>
      <w:r>
        <w:rPr>
          <w:rFonts w:ascii="GHEA Grapalat" w:eastAsia="Calibri" w:hAnsi="GHEA Grapalat" w:cs="Sylfaen"/>
          <w:sz w:val="22"/>
          <w:szCs w:val="22"/>
        </w:rPr>
        <w:t xml:space="preserve"> տոկոսային կետով: </w:t>
      </w:r>
      <w:r w:rsidRPr="00345A1C">
        <w:rPr>
          <w:rFonts w:ascii="GHEA Grapalat" w:eastAsia="Calibri" w:hAnsi="GHEA Grapalat" w:cs="Sylfaen"/>
          <w:sz w:val="22"/>
          <w:szCs w:val="22"/>
        </w:rPr>
        <w:t xml:space="preserve">Միայն ռեզիդենտների ցուցանիշները դիտարկելու դեպքում, ավանդների դոլարայնացումը նախորդ տարվա </w:t>
      </w:r>
      <w:r>
        <w:rPr>
          <w:rFonts w:ascii="GHEA Grapalat" w:eastAsia="Calibri" w:hAnsi="GHEA Grapalat" w:cs="Sylfaen"/>
          <w:sz w:val="22"/>
          <w:szCs w:val="22"/>
        </w:rPr>
        <w:t xml:space="preserve">նույն ամսվա </w:t>
      </w:r>
      <w:r w:rsidRPr="00345A1C">
        <w:rPr>
          <w:rFonts w:ascii="GHEA Grapalat" w:eastAsia="Calibri" w:hAnsi="GHEA Grapalat" w:cs="Sylfaen"/>
          <w:sz w:val="22"/>
          <w:szCs w:val="22"/>
        </w:rPr>
        <w:t xml:space="preserve">համեմատ նվազել է </w:t>
      </w:r>
      <w:r w:rsidRPr="002C0883">
        <w:rPr>
          <w:rFonts w:ascii="GHEA Grapalat" w:eastAsia="Calibri" w:hAnsi="GHEA Grapalat" w:cs="Sylfaen"/>
          <w:sz w:val="22"/>
          <w:szCs w:val="22"/>
        </w:rPr>
        <w:t>3.2</w:t>
      </w:r>
      <w:r w:rsidRPr="00345A1C">
        <w:rPr>
          <w:rFonts w:ascii="GHEA Grapalat" w:eastAsia="Calibri" w:hAnsi="GHEA Grapalat" w:cs="Sylfaen"/>
          <w:sz w:val="22"/>
          <w:szCs w:val="22"/>
        </w:rPr>
        <w:t xml:space="preserve"> տոկոսային կետով՝ կազմելով 3</w:t>
      </w:r>
      <w:r w:rsidRPr="00D10479">
        <w:rPr>
          <w:rFonts w:ascii="GHEA Grapalat" w:eastAsia="Calibri" w:hAnsi="GHEA Grapalat" w:cs="Sylfaen"/>
          <w:sz w:val="22"/>
          <w:szCs w:val="22"/>
        </w:rPr>
        <w:t>2.</w:t>
      </w:r>
      <w:r w:rsidRPr="002C0883">
        <w:rPr>
          <w:rFonts w:ascii="GHEA Grapalat" w:eastAsia="Calibri" w:hAnsi="GHEA Grapalat" w:cs="Sylfaen"/>
          <w:sz w:val="22"/>
          <w:szCs w:val="22"/>
        </w:rPr>
        <w:t>2</w:t>
      </w:r>
      <w:r w:rsidRPr="00345A1C">
        <w:rPr>
          <w:rFonts w:ascii="GHEA Grapalat" w:eastAsia="Calibri" w:hAnsi="GHEA Grapalat" w:cs="Sylfaen"/>
          <w:sz w:val="22"/>
          <w:szCs w:val="22"/>
        </w:rPr>
        <w:t xml:space="preserve">%, իսկ </w:t>
      </w:r>
      <w:r>
        <w:rPr>
          <w:rFonts w:ascii="GHEA Grapalat" w:eastAsia="Calibri" w:hAnsi="GHEA Grapalat" w:cs="Sylfaen"/>
          <w:sz w:val="22"/>
          <w:szCs w:val="22"/>
        </w:rPr>
        <w:t xml:space="preserve">ռեզիդենտների </w:t>
      </w:r>
      <w:r w:rsidRPr="00345A1C">
        <w:rPr>
          <w:rFonts w:ascii="GHEA Grapalat" w:eastAsia="Calibri" w:hAnsi="GHEA Grapalat" w:cs="Sylfaen"/>
          <w:sz w:val="22"/>
          <w:szCs w:val="22"/>
        </w:rPr>
        <w:t>վարկերի դոլարայնացում</w:t>
      </w:r>
      <w:r>
        <w:rPr>
          <w:rFonts w:ascii="GHEA Grapalat" w:eastAsia="Calibri" w:hAnsi="GHEA Grapalat" w:cs="Sylfaen"/>
          <w:sz w:val="22"/>
          <w:szCs w:val="22"/>
        </w:rPr>
        <w:t>ն</w:t>
      </w:r>
      <w:r w:rsidRPr="00345A1C">
        <w:rPr>
          <w:rFonts w:ascii="GHEA Grapalat" w:eastAsia="Calibri" w:hAnsi="GHEA Grapalat" w:cs="Sylfaen"/>
          <w:sz w:val="22"/>
          <w:szCs w:val="22"/>
        </w:rPr>
        <w:t xml:space="preserve"> </w:t>
      </w:r>
      <w:r>
        <w:rPr>
          <w:rFonts w:ascii="GHEA Grapalat" w:eastAsia="Calibri" w:hAnsi="GHEA Grapalat" w:cs="Sylfaen"/>
          <w:sz w:val="22"/>
          <w:szCs w:val="22"/>
        </w:rPr>
        <w:t>աճել</w:t>
      </w:r>
      <w:r w:rsidRPr="00345A1C">
        <w:rPr>
          <w:rFonts w:ascii="GHEA Grapalat" w:eastAsia="Calibri" w:hAnsi="GHEA Grapalat" w:cs="Sylfaen"/>
          <w:sz w:val="22"/>
          <w:szCs w:val="22"/>
        </w:rPr>
        <w:t xml:space="preserve"> է </w:t>
      </w:r>
      <w:r>
        <w:rPr>
          <w:rFonts w:ascii="GHEA Grapalat" w:eastAsia="Calibri" w:hAnsi="GHEA Grapalat" w:cs="Sylfaen"/>
          <w:sz w:val="22"/>
          <w:szCs w:val="22"/>
        </w:rPr>
        <w:t>0.</w:t>
      </w:r>
      <w:r w:rsidRPr="002C0883">
        <w:rPr>
          <w:rFonts w:ascii="GHEA Grapalat" w:eastAsia="Calibri" w:hAnsi="GHEA Grapalat" w:cs="Sylfaen"/>
          <w:sz w:val="22"/>
          <w:szCs w:val="22"/>
        </w:rPr>
        <w:t>4</w:t>
      </w:r>
      <w:r w:rsidRPr="00345A1C">
        <w:rPr>
          <w:rFonts w:ascii="GHEA Grapalat" w:eastAsia="Calibri" w:hAnsi="GHEA Grapalat" w:cs="Sylfaen"/>
          <w:sz w:val="22"/>
          <w:szCs w:val="22"/>
        </w:rPr>
        <w:t xml:space="preserve"> տոկոսային կետով՝ կազմելով 3</w:t>
      </w:r>
      <w:r w:rsidRPr="00274A1B">
        <w:rPr>
          <w:rFonts w:ascii="GHEA Grapalat" w:eastAsia="Calibri" w:hAnsi="GHEA Grapalat" w:cs="Sylfaen"/>
          <w:sz w:val="22"/>
          <w:szCs w:val="22"/>
        </w:rPr>
        <w:t>2.</w:t>
      </w:r>
      <w:r w:rsidRPr="002C0883">
        <w:rPr>
          <w:rFonts w:ascii="GHEA Grapalat" w:eastAsia="Calibri" w:hAnsi="GHEA Grapalat" w:cs="Sylfaen"/>
          <w:sz w:val="22"/>
          <w:szCs w:val="22"/>
        </w:rPr>
        <w:t>6</w:t>
      </w:r>
      <w:r w:rsidRPr="00345A1C">
        <w:rPr>
          <w:rFonts w:ascii="GHEA Grapalat" w:eastAsia="Calibri" w:hAnsi="GHEA Grapalat" w:cs="Sylfaen"/>
          <w:sz w:val="22"/>
          <w:szCs w:val="22"/>
        </w:rPr>
        <w:t>%։</w:t>
      </w:r>
    </w:p>
    <w:p w14:paraId="7226B2EF" w14:textId="77777777" w:rsidR="00742EB9" w:rsidRPr="00345A1C" w:rsidRDefault="00742EB9" w:rsidP="00742EB9">
      <w:pPr>
        <w:spacing w:line="276" w:lineRule="auto"/>
        <w:ind w:firstLine="567"/>
        <w:jc w:val="both"/>
        <w:rPr>
          <w:rFonts w:ascii="GHEA Grapalat" w:eastAsia="Calibri" w:hAnsi="GHEA Grapalat" w:cs="Sylfaen"/>
          <w:sz w:val="22"/>
          <w:szCs w:val="22"/>
        </w:rPr>
      </w:pPr>
    </w:p>
    <w:p w14:paraId="51AB721C" w14:textId="77777777" w:rsidR="00742EB9" w:rsidRPr="002769C6" w:rsidRDefault="00742EB9" w:rsidP="00F73C0E">
      <w:pPr>
        <w:pStyle w:val="a0"/>
      </w:pPr>
      <w:r w:rsidRPr="002769C6">
        <w:t>ՀՀ բանկերի վարկային և ավանդային պորտֆելները, 2021-2026թթ</w:t>
      </w:r>
      <w:r w:rsidRPr="002769C6">
        <w:rPr>
          <w:rFonts w:ascii="Cambria Math" w:hAnsi="Cambria Math" w:cs="Cambria Math"/>
        </w:rPr>
        <w:t>․</w:t>
      </w:r>
    </w:p>
    <w:p w14:paraId="39457C9B" w14:textId="77777777" w:rsidR="00742EB9" w:rsidRPr="00046B7D" w:rsidRDefault="00742EB9" w:rsidP="00742EB9">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rPr>
        <w:t xml:space="preserve"> </w:t>
      </w:r>
      <w:r w:rsidRPr="00345A1C">
        <w:rPr>
          <w:rFonts w:ascii="GHEA Grapalat" w:eastAsia="Calibri" w:hAnsi="GHEA Grapalat" w:cs="Sylfaen"/>
          <w:sz w:val="22"/>
          <w:szCs w:val="22"/>
          <w:lang w:val="en-US"/>
        </w:rPr>
        <w:drawing>
          <wp:inline distT="0" distB="0" distL="0" distR="0" wp14:anchorId="2FED85BD" wp14:editId="62177D4F">
            <wp:extent cx="3228230" cy="2663825"/>
            <wp:effectExtent l="0" t="0" r="10795" b="317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Pr="00345A1C">
        <w:rPr>
          <w:rFonts w:ascii="GHEA Grapalat" w:eastAsia="Calibri" w:hAnsi="GHEA Grapalat" w:cs="Sylfaen"/>
          <w:sz w:val="22"/>
          <w:szCs w:val="22"/>
          <w:lang w:val="en-US"/>
        </w:rPr>
        <w:drawing>
          <wp:inline distT="0" distB="0" distL="0" distR="0" wp14:anchorId="4C17D702" wp14:editId="7720391B">
            <wp:extent cx="3188446" cy="2663825"/>
            <wp:effectExtent l="0" t="0" r="12065" b="317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345A1C">
        <w:rPr>
          <w:rFonts w:ascii="GHEA Grapalat" w:eastAsia="Calibri" w:hAnsi="GHEA Grapalat" w:cs="Sylfaen"/>
          <w:sz w:val="22"/>
          <w:szCs w:val="22"/>
        </w:rPr>
        <w:t xml:space="preserve"> </w:t>
      </w:r>
    </w:p>
    <w:p w14:paraId="39CA1762" w14:textId="77777777" w:rsidR="00742EB9" w:rsidRPr="00BC2C75" w:rsidRDefault="00742EB9" w:rsidP="00742EB9">
      <w:pPr>
        <w:spacing w:line="276" w:lineRule="auto"/>
        <w:jc w:val="both"/>
        <w:rPr>
          <w:rFonts w:ascii="GHEA Grapalat" w:eastAsia="Calibri" w:hAnsi="GHEA Grapalat" w:cs="Sylfaen"/>
          <w:i/>
          <w:iCs/>
          <w:sz w:val="16"/>
          <w:szCs w:val="16"/>
        </w:rPr>
      </w:pPr>
      <w:r w:rsidRPr="00BC2C75">
        <w:rPr>
          <w:rFonts w:ascii="GHEA Grapalat" w:hAnsi="GHEA Grapalat"/>
          <w:i/>
          <w:iCs/>
          <w:sz w:val="16"/>
          <w:szCs w:val="16"/>
        </w:rPr>
        <w:t>Աղբյուրը՝ ՀՀ ԿԲ, ՀՀ ՖՆ հաշվարկներ</w:t>
      </w:r>
    </w:p>
    <w:p w14:paraId="18EFD29C" w14:textId="77777777" w:rsidR="00742EB9" w:rsidRPr="002769C6" w:rsidRDefault="00742EB9" w:rsidP="00742EB9">
      <w:pPr>
        <w:spacing w:line="276" w:lineRule="auto"/>
        <w:ind w:firstLine="567"/>
        <w:jc w:val="both"/>
        <w:rPr>
          <w:rFonts w:ascii="GHEA Grapalat" w:hAnsi="GHEA Grapalat" w:cs="GHEA Grapalat"/>
          <w:sz w:val="22"/>
          <w:szCs w:val="22"/>
        </w:rPr>
      </w:pPr>
    </w:p>
    <w:p w14:paraId="436F7381" w14:textId="747880D7" w:rsidR="00742EB9" w:rsidRPr="00345A1C" w:rsidRDefault="00742EB9" w:rsidP="00742EB9">
      <w:pPr>
        <w:spacing w:line="276" w:lineRule="auto"/>
        <w:ind w:firstLine="567"/>
        <w:jc w:val="both"/>
        <w:rPr>
          <w:rFonts w:ascii="GHEA Grapalat" w:eastAsia="Calibri" w:hAnsi="GHEA Grapalat" w:cs="Sylfaen"/>
          <w:sz w:val="22"/>
          <w:szCs w:val="22"/>
        </w:rPr>
      </w:pPr>
      <w:r w:rsidRPr="00531B54">
        <w:rPr>
          <w:rFonts w:ascii="GHEA Grapalat" w:eastAsia="Calibri" w:hAnsi="GHEA Grapalat" w:cs="Sylfaen"/>
          <w:b/>
          <w:i/>
          <w:sz w:val="22"/>
          <w:szCs w:val="22"/>
        </w:rPr>
        <w:t>Վարկերի և ավանդների տոկոսադրույքներ:</w:t>
      </w:r>
      <w:r w:rsidRPr="002769C6">
        <w:rPr>
          <w:rFonts w:ascii="GHEA Grapalat" w:eastAsia="Calibri" w:hAnsi="GHEA Grapalat" w:cs="Sylfaen"/>
          <w:sz w:val="22"/>
          <w:szCs w:val="22"/>
        </w:rPr>
        <w:t xml:space="preserve"> </w:t>
      </w:r>
      <w:r>
        <w:rPr>
          <w:rFonts w:ascii="GHEA Grapalat" w:eastAsia="Calibri" w:hAnsi="GHEA Grapalat" w:cs="Sylfaen"/>
          <w:sz w:val="22"/>
          <w:szCs w:val="22"/>
        </w:rPr>
        <w:t>Վարկերի</w:t>
      </w:r>
      <w:r w:rsidRPr="002769C6">
        <w:rPr>
          <w:rFonts w:ascii="GHEA Grapalat" w:eastAsia="Calibri" w:hAnsi="GHEA Grapalat" w:cs="Sylfaen"/>
          <w:sz w:val="22"/>
          <w:szCs w:val="22"/>
        </w:rPr>
        <w:t xml:space="preserve"> </w:t>
      </w:r>
      <w:r>
        <w:rPr>
          <w:rFonts w:ascii="GHEA Grapalat" w:eastAsia="Calibri" w:hAnsi="GHEA Grapalat" w:cs="Sylfaen"/>
          <w:sz w:val="22"/>
          <w:szCs w:val="22"/>
        </w:rPr>
        <w:t xml:space="preserve">և ավանդների </w:t>
      </w:r>
      <w:r w:rsidRPr="002769C6">
        <w:rPr>
          <w:rFonts w:ascii="GHEA Grapalat" w:eastAsia="Calibri" w:hAnsi="GHEA Grapalat" w:cs="Sylfaen"/>
          <w:sz w:val="22"/>
          <w:szCs w:val="22"/>
        </w:rPr>
        <w:t xml:space="preserve">տոկոսադրույքները </w:t>
      </w:r>
      <w:r>
        <w:rPr>
          <w:rFonts w:ascii="GHEA Grapalat" w:eastAsia="Calibri" w:hAnsi="GHEA Grapalat" w:cs="Sylfaen"/>
          <w:sz w:val="22"/>
          <w:szCs w:val="22"/>
        </w:rPr>
        <w:t>որոշակի</w:t>
      </w:r>
      <w:r w:rsidR="008C57B3">
        <w:rPr>
          <w:rFonts w:ascii="GHEA Grapalat" w:eastAsia="Calibri" w:hAnsi="GHEA Grapalat" w:cs="Sylfaen"/>
          <w:sz w:val="22"/>
          <w:szCs w:val="22"/>
          <w:lang w:val="en-US"/>
        </w:rPr>
        <w:t>որեն</w:t>
      </w:r>
      <w:r>
        <w:rPr>
          <w:rFonts w:ascii="GHEA Grapalat" w:eastAsia="Calibri" w:hAnsi="GHEA Grapalat" w:cs="Sylfaen"/>
          <w:sz w:val="22"/>
          <w:szCs w:val="22"/>
        </w:rPr>
        <w:t xml:space="preserve"> նվազել են։</w:t>
      </w:r>
      <w:r w:rsidRPr="002769C6">
        <w:rPr>
          <w:rFonts w:ascii="GHEA Grapalat" w:eastAsia="Calibri" w:hAnsi="GHEA Grapalat" w:cs="Sylfaen"/>
          <w:sz w:val="22"/>
          <w:szCs w:val="22"/>
        </w:rPr>
        <w:t xml:space="preserve"> Ընդ որում</w:t>
      </w:r>
      <w:r>
        <w:rPr>
          <w:rFonts w:ascii="GHEA Grapalat" w:eastAsia="Calibri" w:hAnsi="GHEA Grapalat" w:cs="Sylfaen"/>
          <w:sz w:val="22"/>
          <w:szCs w:val="22"/>
        </w:rPr>
        <w:t>,</w:t>
      </w:r>
      <w:r w:rsidRPr="002769C6">
        <w:rPr>
          <w:rFonts w:ascii="GHEA Grapalat" w:eastAsia="Calibri" w:hAnsi="GHEA Grapalat" w:cs="Sylfaen"/>
          <w:sz w:val="22"/>
          <w:szCs w:val="22"/>
        </w:rPr>
        <w:t xml:space="preserve"> հիպոտեկային և սպառողական վարկատեսակների դեպքում տոկոսադրույքները կայուն են մնացել: </w:t>
      </w:r>
      <w:r>
        <w:rPr>
          <w:rFonts w:ascii="GHEA Grapalat" w:eastAsia="Calibri" w:hAnsi="GHEA Grapalat" w:cs="Sylfaen"/>
          <w:sz w:val="22"/>
          <w:szCs w:val="22"/>
        </w:rPr>
        <w:t>202</w:t>
      </w:r>
      <w:r w:rsidRPr="00D10479">
        <w:rPr>
          <w:rFonts w:ascii="GHEA Grapalat" w:eastAsia="Calibri" w:hAnsi="GHEA Grapalat" w:cs="Sylfaen"/>
          <w:sz w:val="22"/>
          <w:szCs w:val="22"/>
        </w:rPr>
        <w:t>6</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 xml:space="preserve">հունվար-հունիս ամիսների դրությամբ </w:t>
      </w:r>
      <w:r w:rsidRPr="00345A1C">
        <w:rPr>
          <w:rFonts w:ascii="GHEA Grapalat" w:eastAsia="Calibri" w:hAnsi="GHEA Grapalat" w:cs="Sylfaen"/>
          <w:sz w:val="22"/>
          <w:szCs w:val="22"/>
        </w:rPr>
        <w:t>ՀՀ դրամով վարկավորման (մինչև մեկ տարի ժամկետով) միջին տարեկան տոկոսադրույքը կազմել է 1</w:t>
      </w:r>
      <w:r>
        <w:rPr>
          <w:rFonts w:ascii="GHEA Grapalat" w:eastAsia="Calibri" w:hAnsi="GHEA Grapalat" w:cs="Sylfaen"/>
          <w:sz w:val="22"/>
          <w:szCs w:val="22"/>
        </w:rPr>
        <w:t>3.4</w:t>
      </w:r>
      <w:r w:rsidRPr="00345A1C">
        <w:rPr>
          <w:rFonts w:ascii="GHEA Grapalat" w:eastAsia="Calibri" w:hAnsi="GHEA Grapalat" w:cs="Sylfaen"/>
          <w:sz w:val="22"/>
          <w:szCs w:val="22"/>
        </w:rPr>
        <w:t xml:space="preserve">%՝ </w:t>
      </w:r>
      <w:r>
        <w:rPr>
          <w:rFonts w:ascii="GHEA Grapalat" w:eastAsia="Calibri" w:hAnsi="GHEA Grapalat" w:cs="Sylfaen"/>
          <w:sz w:val="22"/>
          <w:szCs w:val="22"/>
        </w:rPr>
        <w:t>նախորդ տարվա նույն ժամանակահատվածի համեմատությամբ նվազելով 0.3 տոկոսային կետով</w:t>
      </w:r>
      <w:r w:rsidRPr="00345A1C">
        <w:rPr>
          <w:rFonts w:ascii="GHEA Grapalat" w:eastAsia="Calibri" w:hAnsi="GHEA Grapalat" w:cs="Sylfaen"/>
          <w:sz w:val="22"/>
          <w:szCs w:val="22"/>
        </w:rPr>
        <w:t xml:space="preserve">: ՀՀ դրամային ավանդների (մինչև մեկ տարի ժամկետով) միջին </w:t>
      </w:r>
      <w:r>
        <w:rPr>
          <w:rFonts w:ascii="GHEA Grapalat" w:eastAsia="Calibri" w:hAnsi="GHEA Grapalat" w:cs="Sylfaen"/>
          <w:sz w:val="22"/>
          <w:szCs w:val="22"/>
        </w:rPr>
        <w:t xml:space="preserve">տարեկան </w:t>
      </w:r>
      <w:r w:rsidRPr="00345A1C">
        <w:rPr>
          <w:rFonts w:ascii="GHEA Grapalat" w:eastAsia="Calibri" w:hAnsi="GHEA Grapalat" w:cs="Sylfaen"/>
          <w:sz w:val="22"/>
          <w:szCs w:val="22"/>
        </w:rPr>
        <w:t xml:space="preserve">տոկոսադրույքը </w:t>
      </w:r>
      <w:r>
        <w:rPr>
          <w:rFonts w:ascii="GHEA Grapalat" w:eastAsia="Calibri" w:hAnsi="GHEA Grapalat" w:cs="Sylfaen"/>
          <w:sz w:val="22"/>
          <w:szCs w:val="22"/>
        </w:rPr>
        <w:t xml:space="preserve">հունվար-հունիս ամիսներին </w:t>
      </w:r>
      <w:r w:rsidRPr="00345A1C">
        <w:rPr>
          <w:rFonts w:ascii="GHEA Grapalat" w:eastAsia="Calibri" w:hAnsi="GHEA Grapalat" w:cs="Sylfaen"/>
          <w:sz w:val="22"/>
          <w:szCs w:val="22"/>
        </w:rPr>
        <w:t xml:space="preserve">կազմել է </w:t>
      </w:r>
      <w:r>
        <w:rPr>
          <w:rFonts w:ascii="GHEA Grapalat" w:eastAsia="Calibri" w:hAnsi="GHEA Grapalat" w:cs="Sylfaen"/>
          <w:sz w:val="22"/>
          <w:szCs w:val="22"/>
        </w:rPr>
        <w:t>7.8</w:t>
      </w:r>
      <w:r w:rsidRPr="00345A1C">
        <w:rPr>
          <w:rFonts w:ascii="GHEA Grapalat" w:eastAsia="Calibri" w:hAnsi="GHEA Grapalat" w:cs="Sylfaen"/>
          <w:sz w:val="22"/>
          <w:szCs w:val="22"/>
        </w:rPr>
        <w:t>%</w:t>
      </w:r>
      <w:r>
        <w:rPr>
          <w:rFonts w:ascii="GHEA Grapalat" w:eastAsia="Calibri" w:hAnsi="GHEA Grapalat" w:cs="Sylfaen"/>
          <w:sz w:val="22"/>
          <w:szCs w:val="22"/>
        </w:rPr>
        <w:t>՝ նախորդ տարվա նույն ժամանակահատվածի նկատմամբ նվազելով 0.2 տոկոսային կետով</w:t>
      </w:r>
      <w:r w:rsidRPr="00190B6C">
        <w:rPr>
          <w:rFonts w:ascii="GHEA Grapalat" w:eastAsia="Calibri" w:hAnsi="GHEA Grapalat" w:cs="Sylfaen"/>
          <w:sz w:val="22"/>
          <w:szCs w:val="22"/>
        </w:rPr>
        <w:t>:</w:t>
      </w:r>
    </w:p>
    <w:p w14:paraId="25AEE49F" w14:textId="0359F3C9" w:rsidR="00742EB9" w:rsidRPr="00345A1C" w:rsidRDefault="00742EB9" w:rsidP="00742EB9">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 xml:space="preserve">Արտարժույթով ավանդների (մինչև մեկ տարի ժամկետով) </w:t>
      </w:r>
      <w:r>
        <w:rPr>
          <w:rFonts w:ascii="GHEA Grapalat" w:eastAsia="Calibri" w:hAnsi="GHEA Grapalat" w:cs="Sylfaen"/>
          <w:sz w:val="22"/>
          <w:szCs w:val="22"/>
        </w:rPr>
        <w:t xml:space="preserve">միջին </w:t>
      </w:r>
      <w:r w:rsidRPr="00345A1C">
        <w:rPr>
          <w:rFonts w:ascii="GHEA Grapalat" w:eastAsia="Calibri" w:hAnsi="GHEA Grapalat" w:cs="Sylfaen"/>
          <w:sz w:val="22"/>
          <w:szCs w:val="22"/>
        </w:rPr>
        <w:t>տոկոսադրույքը</w:t>
      </w:r>
      <w:r>
        <w:rPr>
          <w:rFonts w:ascii="GHEA Grapalat" w:eastAsia="Calibri" w:hAnsi="GHEA Grapalat" w:cs="Sylfaen"/>
          <w:sz w:val="22"/>
          <w:szCs w:val="22"/>
        </w:rPr>
        <w:t xml:space="preserve"> հունվարից հունիս ամիսներին </w:t>
      </w:r>
      <w:r w:rsidRPr="00345A1C">
        <w:rPr>
          <w:rFonts w:ascii="GHEA Grapalat" w:eastAsia="Calibri" w:hAnsi="GHEA Grapalat" w:cs="Sylfaen"/>
          <w:sz w:val="22"/>
          <w:szCs w:val="22"/>
        </w:rPr>
        <w:t>կազմել</w:t>
      </w:r>
      <w:r>
        <w:rPr>
          <w:rFonts w:ascii="GHEA Grapalat" w:eastAsia="Calibri" w:hAnsi="GHEA Grapalat" w:cs="Sylfaen"/>
          <w:sz w:val="22"/>
          <w:szCs w:val="22"/>
        </w:rPr>
        <w:t xml:space="preserve"> է</w:t>
      </w:r>
      <w:r w:rsidRPr="00345A1C">
        <w:rPr>
          <w:rFonts w:ascii="GHEA Grapalat" w:eastAsia="Calibri" w:hAnsi="GHEA Grapalat" w:cs="Sylfaen"/>
          <w:sz w:val="22"/>
          <w:szCs w:val="22"/>
        </w:rPr>
        <w:t xml:space="preserve"> 2.</w:t>
      </w:r>
      <w:r>
        <w:rPr>
          <w:rFonts w:ascii="GHEA Grapalat" w:eastAsia="Calibri" w:hAnsi="GHEA Grapalat" w:cs="Sylfaen"/>
          <w:sz w:val="22"/>
          <w:szCs w:val="22"/>
        </w:rPr>
        <w:t>3</w:t>
      </w:r>
      <w:r w:rsidRPr="00345A1C">
        <w:rPr>
          <w:rFonts w:ascii="GHEA Grapalat" w:eastAsia="Calibri" w:hAnsi="GHEA Grapalat" w:cs="Sylfaen"/>
          <w:sz w:val="22"/>
          <w:szCs w:val="22"/>
        </w:rPr>
        <w:t>%</w:t>
      </w:r>
      <w:r w:rsidRPr="00190B6C">
        <w:rPr>
          <w:rFonts w:ascii="GHEA Grapalat" w:eastAsia="Calibri" w:hAnsi="GHEA Grapalat" w:cs="Sylfaen"/>
          <w:sz w:val="22"/>
          <w:szCs w:val="22"/>
        </w:rPr>
        <w:t xml:space="preserve">` </w:t>
      </w:r>
      <w:r>
        <w:rPr>
          <w:rFonts w:ascii="GHEA Grapalat" w:eastAsia="Calibri" w:hAnsi="GHEA Grapalat" w:cs="Sylfaen"/>
          <w:sz w:val="22"/>
          <w:szCs w:val="22"/>
        </w:rPr>
        <w:t>նախորդ տարվա նույն ժամանակահատվածի նկատմամբ նվազելով 0.3 տոկոսային կետով</w:t>
      </w:r>
      <w:r w:rsidRPr="00345A1C">
        <w:rPr>
          <w:rFonts w:ascii="GHEA Grapalat" w:eastAsia="Calibri" w:hAnsi="GHEA Grapalat" w:cs="Sylfaen"/>
          <w:sz w:val="22"/>
          <w:szCs w:val="22"/>
        </w:rPr>
        <w:t xml:space="preserve">, իսկ վարկերի (մինչև մեկ տարի ժամկետով) տոկոսադրույքը կազմել է </w:t>
      </w:r>
      <w:r>
        <w:rPr>
          <w:rFonts w:ascii="GHEA Grapalat" w:eastAsia="Calibri" w:hAnsi="GHEA Grapalat" w:cs="Sylfaen"/>
          <w:sz w:val="22"/>
          <w:szCs w:val="22"/>
        </w:rPr>
        <w:t>8</w:t>
      </w:r>
      <w:r w:rsidRPr="00345A1C">
        <w:rPr>
          <w:rFonts w:ascii="GHEA Grapalat" w:eastAsia="Calibri" w:hAnsi="GHEA Grapalat" w:cs="Sylfaen"/>
          <w:sz w:val="22"/>
          <w:szCs w:val="22"/>
        </w:rPr>
        <w:t>%</w:t>
      </w:r>
      <w:r>
        <w:rPr>
          <w:rFonts w:ascii="GHEA Grapalat" w:eastAsia="Calibri" w:hAnsi="GHEA Grapalat" w:cs="Sylfaen"/>
          <w:sz w:val="22"/>
          <w:szCs w:val="22"/>
        </w:rPr>
        <w:t>:</w:t>
      </w:r>
    </w:p>
    <w:p w14:paraId="4185698D" w14:textId="77777777" w:rsidR="00742EB9" w:rsidRPr="001D106D" w:rsidRDefault="00742EB9" w:rsidP="00742EB9">
      <w:pPr>
        <w:spacing w:line="276" w:lineRule="auto"/>
        <w:ind w:firstLine="567"/>
        <w:jc w:val="both"/>
        <w:rPr>
          <w:rFonts w:ascii="GHEA Grapalat" w:eastAsia="Calibri" w:hAnsi="GHEA Grapalat" w:cs="Sylfaen"/>
          <w:sz w:val="22"/>
          <w:szCs w:val="22"/>
        </w:rPr>
      </w:pPr>
      <w:r w:rsidRPr="001D106D">
        <w:rPr>
          <w:rFonts w:ascii="GHEA Grapalat" w:eastAsia="Calibri" w:hAnsi="GHEA Grapalat" w:cs="Sylfaen"/>
          <w:sz w:val="22"/>
          <w:szCs w:val="22"/>
        </w:rPr>
        <w:t>Ֆինանսական շուկայում արտարժույթով և դրամով միջին կշռված (մինչև 1 տարի ժամկետով) տոկոսադրույքների միջև սպրեդը 202</w:t>
      </w:r>
      <w:r>
        <w:rPr>
          <w:rFonts w:ascii="GHEA Grapalat" w:eastAsia="Calibri" w:hAnsi="GHEA Grapalat" w:cs="Sylfaen"/>
          <w:sz w:val="22"/>
          <w:szCs w:val="22"/>
        </w:rPr>
        <w:t>6</w:t>
      </w:r>
      <w:r w:rsidRPr="001D106D">
        <w:rPr>
          <w:rFonts w:ascii="GHEA Grapalat" w:eastAsia="Calibri" w:hAnsi="GHEA Grapalat" w:cs="Sylfaen"/>
          <w:sz w:val="22"/>
          <w:szCs w:val="22"/>
        </w:rPr>
        <w:t xml:space="preserve">թ. </w:t>
      </w:r>
      <w:r>
        <w:rPr>
          <w:rFonts w:ascii="GHEA Grapalat" w:eastAsia="Calibri" w:hAnsi="GHEA Grapalat" w:cs="Sylfaen"/>
          <w:sz w:val="22"/>
          <w:szCs w:val="22"/>
        </w:rPr>
        <w:t>հունիսին</w:t>
      </w:r>
      <w:r w:rsidRPr="001D106D">
        <w:rPr>
          <w:rFonts w:ascii="GHEA Grapalat" w:eastAsia="Calibri" w:hAnsi="GHEA Grapalat" w:cs="Sylfaen"/>
          <w:sz w:val="22"/>
          <w:szCs w:val="22"/>
        </w:rPr>
        <w:t xml:space="preserve"> նախորդ տարվա նույն ամսվա նկատմամբ </w:t>
      </w:r>
      <w:r>
        <w:rPr>
          <w:rFonts w:ascii="GHEA Grapalat" w:eastAsia="Calibri" w:hAnsi="GHEA Grapalat" w:cs="Sylfaen"/>
          <w:sz w:val="22"/>
          <w:szCs w:val="22"/>
        </w:rPr>
        <w:t>նվազել</w:t>
      </w:r>
      <w:r w:rsidRPr="001D106D">
        <w:rPr>
          <w:rFonts w:ascii="GHEA Grapalat" w:eastAsia="Calibri" w:hAnsi="GHEA Grapalat" w:cs="Sylfaen"/>
          <w:sz w:val="22"/>
          <w:szCs w:val="22"/>
        </w:rPr>
        <w:t xml:space="preserve"> է </w:t>
      </w:r>
      <w:r>
        <w:rPr>
          <w:rFonts w:ascii="GHEA Grapalat" w:eastAsia="Calibri" w:hAnsi="GHEA Grapalat" w:cs="Sylfaen"/>
          <w:sz w:val="22"/>
          <w:szCs w:val="22"/>
        </w:rPr>
        <w:t>0</w:t>
      </w:r>
      <w:r w:rsidRPr="00D10479">
        <w:rPr>
          <w:rFonts w:ascii="GHEA Grapalat" w:eastAsia="Calibri" w:hAnsi="GHEA Grapalat" w:cs="Sylfaen"/>
          <w:sz w:val="22"/>
          <w:szCs w:val="22"/>
        </w:rPr>
        <w:t>.</w:t>
      </w:r>
      <w:r>
        <w:rPr>
          <w:rFonts w:ascii="GHEA Grapalat" w:eastAsia="Calibri" w:hAnsi="GHEA Grapalat" w:cs="Sylfaen"/>
          <w:sz w:val="22"/>
          <w:szCs w:val="22"/>
        </w:rPr>
        <w:t>1</w:t>
      </w:r>
      <w:r w:rsidRPr="001D106D">
        <w:rPr>
          <w:rFonts w:ascii="GHEA Grapalat" w:eastAsia="Calibri" w:hAnsi="GHEA Grapalat" w:cs="Sylfaen"/>
          <w:sz w:val="22"/>
          <w:szCs w:val="22"/>
        </w:rPr>
        <w:t xml:space="preserve"> տոկոսային կետով և կազմել </w:t>
      </w:r>
      <w:r>
        <w:rPr>
          <w:rFonts w:ascii="GHEA Grapalat" w:eastAsia="Calibri" w:hAnsi="GHEA Grapalat" w:cs="Sylfaen"/>
          <w:sz w:val="22"/>
          <w:szCs w:val="22"/>
        </w:rPr>
        <w:t>5.7</w:t>
      </w:r>
      <w:r w:rsidRPr="001D106D">
        <w:rPr>
          <w:rFonts w:ascii="GHEA Grapalat" w:eastAsia="Calibri" w:hAnsi="GHEA Grapalat" w:cs="Sylfaen"/>
          <w:sz w:val="22"/>
          <w:szCs w:val="22"/>
        </w:rPr>
        <w:t xml:space="preserve">%: Դրամով վարկերի և ավանդների միջև տոկոսադրույքների սպրեդը կազմել է </w:t>
      </w:r>
      <w:r w:rsidRPr="002C0883">
        <w:rPr>
          <w:rFonts w:ascii="GHEA Grapalat" w:eastAsia="Calibri" w:hAnsi="GHEA Grapalat" w:cs="Sylfaen"/>
          <w:sz w:val="22"/>
          <w:szCs w:val="22"/>
        </w:rPr>
        <w:t>5</w:t>
      </w:r>
      <w:r w:rsidRPr="00D10479">
        <w:rPr>
          <w:rFonts w:ascii="GHEA Grapalat" w:eastAsia="Calibri" w:hAnsi="GHEA Grapalat" w:cs="Sylfaen"/>
          <w:sz w:val="22"/>
          <w:szCs w:val="22"/>
        </w:rPr>
        <w:t>.</w:t>
      </w:r>
      <w:r>
        <w:rPr>
          <w:rFonts w:ascii="GHEA Grapalat" w:eastAsia="Calibri" w:hAnsi="GHEA Grapalat" w:cs="Sylfaen"/>
          <w:sz w:val="22"/>
          <w:szCs w:val="22"/>
        </w:rPr>
        <w:t>4</w:t>
      </w:r>
      <w:r w:rsidRPr="001D106D">
        <w:rPr>
          <w:rFonts w:ascii="GHEA Grapalat" w:eastAsia="Calibri" w:hAnsi="GHEA Grapalat" w:cs="Sylfaen"/>
          <w:sz w:val="22"/>
          <w:szCs w:val="22"/>
        </w:rPr>
        <w:t xml:space="preserve">%՝ աճելով </w:t>
      </w:r>
      <w:r w:rsidRPr="002C0883">
        <w:rPr>
          <w:rFonts w:ascii="GHEA Grapalat" w:eastAsia="Calibri" w:hAnsi="GHEA Grapalat" w:cs="Sylfaen"/>
          <w:sz w:val="22"/>
          <w:szCs w:val="22"/>
        </w:rPr>
        <w:t>0</w:t>
      </w:r>
      <w:r w:rsidRPr="000D162B">
        <w:rPr>
          <w:rFonts w:ascii="GHEA Grapalat" w:eastAsia="Calibri" w:hAnsi="GHEA Grapalat" w:cs="Sylfaen"/>
          <w:sz w:val="22"/>
          <w:szCs w:val="22"/>
        </w:rPr>
        <w:t>.1</w:t>
      </w:r>
      <w:r w:rsidRPr="001D106D">
        <w:rPr>
          <w:rFonts w:ascii="GHEA Grapalat" w:eastAsia="Calibri" w:hAnsi="GHEA Grapalat" w:cs="Sylfaen"/>
          <w:sz w:val="22"/>
          <w:szCs w:val="22"/>
        </w:rPr>
        <w:t xml:space="preserve"> տոկոսային կետով, իսկ արտարժույթով վարկերի և ավանդների</w:t>
      </w:r>
      <w:r>
        <w:rPr>
          <w:rFonts w:ascii="GHEA Grapalat" w:eastAsia="Calibri" w:hAnsi="GHEA Grapalat" w:cs="Sylfaen"/>
          <w:sz w:val="22"/>
          <w:szCs w:val="22"/>
        </w:rPr>
        <w:t xml:space="preserve"> տոկոսադրույքների միջև</w:t>
      </w:r>
      <w:r w:rsidRPr="001D106D">
        <w:rPr>
          <w:rFonts w:ascii="GHEA Grapalat" w:eastAsia="Calibri" w:hAnsi="GHEA Grapalat" w:cs="Sylfaen"/>
          <w:sz w:val="22"/>
          <w:szCs w:val="22"/>
        </w:rPr>
        <w:t xml:space="preserve"> սպրեդը </w:t>
      </w:r>
      <w:r>
        <w:rPr>
          <w:rFonts w:ascii="GHEA Grapalat" w:eastAsia="Calibri" w:hAnsi="GHEA Grapalat" w:cs="Sylfaen"/>
          <w:sz w:val="22"/>
          <w:szCs w:val="22"/>
        </w:rPr>
        <w:t xml:space="preserve">կազմել է </w:t>
      </w:r>
      <w:r w:rsidRPr="002C0883">
        <w:rPr>
          <w:rFonts w:ascii="GHEA Grapalat" w:eastAsia="Calibri" w:hAnsi="GHEA Grapalat" w:cs="Sylfaen"/>
          <w:sz w:val="22"/>
          <w:szCs w:val="22"/>
        </w:rPr>
        <w:t>5</w:t>
      </w:r>
      <w:r>
        <w:rPr>
          <w:rFonts w:ascii="GHEA Grapalat" w:eastAsia="Calibri" w:hAnsi="GHEA Grapalat" w:cs="Sylfaen"/>
          <w:sz w:val="22"/>
          <w:szCs w:val="22"/>
        </w:rPr>
        <w:t>.</w:t>
      </w:r>
      <w:r w:rsidRPr="002C0883">
        <w:rPr>
          <w:rFonts w:ascii="GHEA Grapalat" w:eastAsia="Calibri" w:hAnsi="GHEA Grapalat" w:cs="Sylfaen"/>
          <w:sz w:val="22"/>
          <w:szCs w:val="22"/>
        </w:rPr>
        <w:t>7</w:t>
      </w:r>
      <w:r w:rsidRPr="00D10479">
        <w:rPr>
          <w:rFonts w:ascii="GHEA Grapalat" w:eastAsia="Calibri" w:hAnsi="GHEA Grapalat" w:cs="Sylfaen"/>
          <w:sz w:val="22"/>
          <w:szCs w:val="22"/>
        </w:rPr>
        <w:t xml:space="preserve">%` </w:t>
      </w:r>
      <w:r>
        <w:rPr>
          <w:rFonts w:ascii="GHEA Grapalat" w:eastAsia="Calibri" w:hAnsi="GHEA Grapalat" w:cs="Sylfaen"/>
          <w:sz w:val="22"/>
          <w:szCs w:val="22"/>
        </w:rPr>
        <w:t xml:space="preserve">աճելով </w:t>
      </w:r>
      <w:r w:rsidRPr="002C0883">
        <w:rPr>
          <w:rFonts w:ascii="GHEA Grapalat" w:eastAsia="Calibri" w:hAnsi="GHEA Grapalat" w:cs="Sylfaen"/>
          <w:sz w:val="22"/>
          <w:szCs w:val="22"/>
        </w:rPr>
        <w:t>0</w:t>
      </w:r>
      <w:r>
        <w:rPr>
          <w:rFonts w:ascii="GHEA Grapalat" w:eastAsia="Calibri" w:hAnsi="GHEA Grapalat" w:cs="Sylfaen"/>
          <w:sz w:val="22"/>
          <w:szCs w:val="22"/>
        </w:rPr>
        <w:t>.</w:t>
      </w:r>
      <w:r w:rsidRPr="002C0883">
        <w:rPr>
          <w:rFonts w:ascii="GHEA Grapalat" w:eastAsia="Calibri" w:hAnsi="GHEA Grapalat" w:cs="Sylfaen"/>
          <w:sz w:val="22"/>
          <w:szCs w:val="22"/>
        </w:rPr>
        <w:t>6</w:t>
      </w:r>
      <w:r>
        <w:rPr>
          <w:rFonts w:ascii="GHEA Grapalat" w:eastAsia="Calibri" w:hAnsi="GHEA Grapalat" w:cs="Sylfaen"/>
          <w:sz w:val="22"/>
          <w:szCs w:val="22"/>
        </w:rPr>
        <w:t xml:space="preserve"> տոկոսային կետով:</w:t>
      </w:r>
    </w:p>
    <w:p w14:paraId="362F0C22" w14:textId="11998358" w:rsidR="00742EB9" w:rsidRPr="00345A1C" w:rsidRDefault="00742EB9" w:rsidP="00742EB9">
      <w:pPr>
        <w:spacing w:line="276" w:lineRule="auto"/>
        <w:ind w:firstLine="567"/>
        <w:jc w:val="both"/>
        <w:rPr>
          <w:rFonts w:ascii="GHEA Grapalat" w:eastAsia="Calibri" w:hAnsi="GHEA Grapalat" w:cs="Sylfaen"/>
          <w:sz w:val="22"/>
          <w:szCs w:val="22"/>
        </w:rPr>
      </w:pPr>
      <w:r w:rsidRPr="00345A1C">
        <w:rPr>
          <w:rFonts w:ascii="GHEA Grapalat" w:hAnsi="GHEA Grapalat" w:cs="GHEA Grapalat"/>
          <w:b/>
          <w:i/>
          <w:sz w:val="22"/>
          <w:szCs w:val="22"/>
        </w:rPr>
        <w:t>ՀՀ պետական պարտատոմսերի շուկա:</w:t>
      </w:r>
      <w:r w:rsidRPr="00345A1C">
        <w:rPr>
          <w:rFonts w:ascii="GHEA Grapalat" w:hAnsi="GHEA Grapalat" w:cs="GHEA Grapalat"/>
          <w:sz w:val="22"/>
          <w:szCs w:val="22"/>
        </w:rPr>
        <w:t xml:space="preserve"> </w:t>
      </w:r>
      <w:r w:rsidRPr="00DE3725">
        <w:rPr>
          <w:rFonts w:ascii="GHEA Grapalat" w:eastAsia="Calibri" w:hAnsi="GHEA Grapalat" w:cs="Sylfaen"/>
          <w:sz w:val="22"/>
          <w:szCs w:val="22"/>
        </w:rPr>
        <w:t xml:space="preserve">ՀՀ պետական պարտատոմսերի շուկայում տեղաբաշխման միջին կշռված եկամտաբերությունները շարունակել են նվազել` մեծապես </w:t>
      </w:r>
      <w:r w:rsidRPr="00DE3725">
        <w:rPr>
          <w:rFonts w:ascii="GHEA Grapalat" w:eastAsia="Calibri" w:hAnsi="GHEA Grapalat" w:cs="Sylfaen"/>
          <w:sz w:val="22"/>
          <w:szCs w:val="22"/>
        </w:rPr>
        <w:lastRenderedPageBreak/>
        <w:t>պայմանավորված ՀՀ ԿԲ կողմից դրամավարկային պայմանների մեղմացման հետաձգված ազդեցություններով և պարտատոմսերի նկատմամբ պահանջարկի աճով</w:t>
      </w:r>
      <w:r w:rsidRPr="00A40A86">
        <w:rPr>
          <w:rFonts w:ascii="GHEA Grapalat" w:eastAsia="Calibri" w:hAnsi="GHEA Grapalat" w:cs="Sylfaen"/>
          <w:sz w:val="22"/>
          <w:szCs w:val="22"/>
        </w:rPr>
        <w:t xml:space="preserve">։ 2026թ. առաջին </w:t>
      </w:r>
      <w:r w:rsidRPr="002C0883">
        <w:rPr>
          <w:rFonts w:ascii="GHEA Grapalat" w:eastAsia="Calibri" w:hAnsi="GHEA Grapalat" w:cs="Sylfaen"/>
          <w:sz w:val="22"/>
          <w:szCs w:val="22"/>
        </w:rPr>
        <w:t>կիսամյակում</w:t>
      </w:r>
      <w:r w:rsidRPr="00A40A86">
        <w:rPr>
          <w:rFonts w:ascii="GHEA Grapalat" w:eastAsia="Calibri" w:hAnsi="GHEA Grapalat" w:cs="Sylfaen"/>
          <w:sz w:val="22"/>
          <w:szCs w:val="22"/>
        </w:rPr>
        <w:t xml:space="preserve"> տեղաբաշխված պետական պարտատոմսերի միջին կշռված եկամտաբերությունը կազմել է 7.</w:t>
      </w:r>
      <w:r w:rsidRPr="002C0883">
        <w:rPr>
          <w:rFonts w:ascii="GHEA Grapalat" w:eastAsia="Calibri" w:hAnsi="GHEA Grapalat" w:cs="Sylfaen"/>
          <w:sz w:val="22"/>
          <w:szCs w:val="22"/>
        </w:rPr>
        <w:t>7</w:t>
      </w:r>
      <w:r w:rsidRPr="00A40A86">
        <w:rPr>
          <w:rFonts w:ascii="GHEA Grapalat" w:eastAsia="Calibri" w:hAnsi="GHEA Grapalat" w:cs="Sylfaen"/>
          <w:sz w:val="22"/>
          <w:szCs w:val="22"/>
        </w:rPr>
        <w:t>% կամ 1.</w:t>
      </w:r>
      <w:r w:rsidRPr="002C0883">
        <w:rPr>
          <w:rFonts w:ascii="GHEA Grapalat" w:eastAsia="Calibri" w:hAnsi="GHEA Grapalat" w:cs="Sylfaen"/>
          <w:sz w:val="22"/>
          <w:szCs w:val="22"/>
        </w:rPr>
        <w:t>7</w:t>
      </w:r>
      <w:r w:rsidRPr="00A40A86">
        <w:rPr>
          <w:rFonts w:ascii="GHEA Grapalat" w:eastAsia="Calibri" w:hAnsi="GHEA Grapalat" w:cs="Sylfaen"/>
          <w:sz w:val="22"/>
          <w:szCs w:val="22"/>
        </w:rPr>
        <w:t xml:space="preserve"> տոկոսային կետով ավելի ցածր, քան 2025թ. նույն ժամանակահատվածում (9.</w:t>
      </w:r>
      <w:r w:rsidRPr="002C0883">
        <w:rPr>
          <w:rFonts w:ascii="GHEA Grapalat" w:eastAsia="Calibri" w:hAnsi="GHEA Grapalat" w:cs="Sylfaen"/>
          <w:sz w:val="22"/>
          <w:szCs w:val="22"/>
        </w:rPr>
        <w:t>4</w:t>
      </w:r>
      <w:r w:rsidRPr="00A40A86">
        <w:rPr>
          <w:rFonts w:ascii="GHEA Grapalat" w:eastAsia="Calibri" w:hAnsi="GHEA Grapalat" w:cs="Sylfaen"/>
          <w:sz w:val="22"/>
          <w:szCs w:val="22"/>
        </w:rPr>
        <w:t>%):</w:t>
      </w:r>
    </w:p>
    <w:p w14:paraId="45F139E3" w14:textId="77777777" w:rsidR="00742EB9" w:rsidRPr="00345A1C" w:rsidRDefault="00742EB9" w:rsidP="00742EB9">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2026</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 xml:space="preserve">հունվար-հունիս ամիսների </w:t>
      </w:r>
      <w:r w:rsidRPr="00345A1C">
        <w:rPr>
          <w:rFonts w:ascii="GHEA Grapalat" w:eastAsia="Calibri" w:hAnsi="GHEA Grapalat" w:cs="Sylfaen"/>
          <w:sz w:val="22"/>
          <w:szCs w:val="22"/>
        </w:rPr>
        <w:t xml:space="preserve">ընթացքում տեղաբաշխված պետական պարտատոմսերի ծավալը կազմել </w:t>
      </w:r>
      <w:r w:rsidRPr="00ED51E7">
        <w:rPr>
          <w:rFonts w:ascii="GHEA Grapalat" w:eastAsia="Calibri" w:hAnsi="GHEA Grapalat" w:cs="Sylfaen"/>
          <w:sz w:val="22"/>
          <w:szCs w:val="22"/>
        </w:rPr>
        <w:t>է 338</w:t>
      </w:r>
      <w:r w:rsidRPr="0049287E">
        <w:rPr>
          <w:rFonts w:ascii="Cambria Math" w:eastAsia="Calibri" w:hAnsi="Cambria Math" w:cs="Cambria Math"/>
          <w:sz w:val="22"/>
          <w:szCs w:val="22"/>
        </w:rPr>
        <w:t>․</w:t>
      </w:r>
      <w:r w:rsidRPr="0049287E">
        <w:rPr>
          <w:rFonts w:ascii="GHEA Grapalat" w:eastAsia="Calibri" w:hAnsi="GHEA Grapalat"/>
          <w:sz w:val="22"/>
          <w:szCs w:val="22"/>
        </w:rPr>
        <w:t>3</w:t>
      </w:r>
      <w:r w:rsidRPr="00ED51E7">
        <w:rPr>
          <w:rFonts w:ascii="GHEA Grapalat" w:eastAsia="Calibri" w:hAnsi="GHEA Grapalat" w:cs="Sylfaen"/>
          <w:sz w:val="22"/>
          <w:szCs w:val="22"/>
        </w:rPr>
        <w:t xml:space="preserve"> մլրդ դրամ</w:t>
      </w:r>
      <w:r w:rsidRPr="00345A1C">
        <w:rPr>
          <w:rFonts w:ascii="GHEA Grapalat" w:eastAsia="Calibri" w:hAnsi="GHEA Grapalat" w:cs="Sylfaen"/>
          <w:sz w:val="22"/>
          <w:szCs w:val="22"/>
        </w:rPr>
        <w:t>՝</w:t>
      </w:r>
      <w:r>
        <w:rPr>
          <w:rFonts w:ascii="GHEA Grapalat" w:eastAsia="Calibri" w:hAnsi="GHEA Grapalat" w:cs="Sylfaen"/>
          <w:sz w:val="22"/>
          <w:szCs w:val="22"/>
        </w:rPr>
        <w:t xml:space="preserve"> 2025</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 xml:space="preserve">նույն </w:t>
      </w:r>
      <w:r w:rsidRPr="00345A1C">
        <w:rPr>
          <w:rFonts w:ascii="GHEA Grapalat" w:eastAsia="Calibri" w:hAnsi="GHEA Grapalat" w:cs="Sylfaen"/>
          <w:sz w:val="22"/>
          <w:szCs w:val="22"/>
        </w:rPr>
        <w:t xml:space="preserve">ժամանակահատվածի </w:t>
      </w:r>
      <w:r>
        <w:rPr>
          <w:rFonts w:ascii="GHEA Grapalat" w:eastAsia="Calibri" w:hAnsi="GHEA Grapalat" w:cs="Sylfaen"/>
          <w:sz w:val="22"/>
          <w:szCs w:val="22"/>
        </w:rPr>
        <w:t>384.7</w:t>
      </w:r>
      <w:r w:rsidRPr="00345A1C">
        <w:rPr>
          <w:rFonts w:ascii="GHEA Grapalat" w:eastAsia="Calibri" w:hAnsi="GHEA Grapalat" w:cs="Sylfaen"/>
          <w:sz w:val="22"/>
          <w:szCs w:val="22"/>
        </w:rPr>
        <w:t xml:space="preserve"> մլրդ դրամի դիմաց, իսկ տեղաբաշխման միջին կշռված ժամկետայնությունը կազմել է </w:t>
      </w:r>
      <w:r>
        <w:rPr>
          <w:rFonts w:ascii="GHEA Grapalat" w:eastAsia="Calibri" w:hAnsi="GHEA Grapalat" w:cs="Sylfaen"/>
          <w:sz w:val="22"/>
          <w:szCs w:val="22"/>
        </w:rPr>
        <w:t>4.8 տարի</w:t>
      </w:r>
      <w:r w:rsidRPr="00A7125D">
        <w:rPr>
          <w:rFonts w:ascii="GHEA Grapalat" w:eastAsia="Calibri" w:hAnsi="GHEA Grapalat" w:cs="Sylfaen"/>
          <w:sz w:val="22"/>
          <w:szCs w:val="22"/>
        </w:rPr>
        <w:t xml:space="preserve">՝ նախորդ տարվա նույն ժամանակահատվածի </w:t>
      </w:r>
      <w:r w:rsidRPr="002C0883">
        <w:rPr>
          <w:rFonts w:ascii="GHEA Grapalat" w:eastAsia="GHEA Grapalat" w:hAnsi="GHEA Grapalat" w:cs="GHEA Grapalat"/>
          <w:sz w:val="22"/>
          <w:szCs w:val="22"/>
        </w:rPr>
        <w:t>4</w:t>
      </w:r>
      <w:r w:rsidRPr="00A7125D">
        <w:rPr>
          <w:rFonts w:ascii="GHEA Grapalat" w:eastAsia="GHEA Grapalat" w:hAnsi="GHEA Grapalat" w:cs="GHEA Grapalat"/>
          <w:sz w:val="22"/>
          <w:szCs w:val="22"/>
        </w:rPr>
        <w:t>.</w:t>
      </w:r>
      <w:r w:rsidRPr="002C0883">
        <w:rPr>
          <w:rFonts w:ascii="GHEA Grapalat" w:eastAsia="GHEA Grapalat" w:hAnsi="GHEA Grapalat" w:cs="GHEA Grapalat"/>
          <w:sz w:val="22"/>
          <w:szCs w:val="22"/>
        </w:rPr>
        <w:t>6</w:t>
      </w:r>
      <w:r w:rsidRPr="00A7125D">
        <w:rPr>
          <w:rFonts w:ascii="GHEA Grapalat" w:eastAsia="Calibri" w:hAnsi="GHEA Grapalat" w:cs="Sylfaen"/>
          <w:sz w:val="22"/>
          <w:szCs w:val="22"/>
        </w:rPr>
        <w:t xml:space="preserve"> տարի ցուցանիշի համեմատ:</w:t>
      </w:r>
    </w:p>
    <w:p w14:paraId="52468285" w14:textId="4FE8D84A" w:rsidR="00742EB9" w:rsidRDefault="00742EB9" w:rsidP="00742EB9">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2026</w:t>
      </w:r>
      <w:r w:rsidRPr="00345A1C">
        <w:rPr>
          <w:rFonts w:ascii="GHEA Grapalat" w:eastAsia="Calibri" w:hAnsi="GHEA Grapalat" w:cs="Sylfaen"/>
          <w:sz w:val="22"/>
          <w:szCs w:val="22"/>
        </w:rPr>
        <w:t>թ</w:t>
      </w:r>
      <w:r>
        <w:rPr>
          <w:rFonts w:ascii="GHEA Grapalat" w:eastAsia="Calibri" w:hAnsi="GHEA Grapalat" w:cs="Sylfaen"/>
          <w:sz w:val="22"/>
          <w:szCs w:val="22"/>
        </w:rPr>
        <w:t xml:space="preserve">. առաջին կիսամյակում </w:t>
      </w:r>
      <w:r w:rsidRPr="00345A1C">
        <w:rPr>
          <w:rFonts w:ascii="GHEA Grapalat" w:eastAsia="Calibri" w:hAnsi="GHEA Grapalat" w:cs="Sylfaen"/>
          <w:sz w:val="22"/>
          <w:szCs w:val="22"/>
        </w:rPr>
        <w:t xml:space="preserve">պետական (շուկայական) պարտատոմսերի նկատմամբ պահանջարկը գերազանցել է տեղաբաշխման ցուցանիշը </w:t>
      </w:r>
      <w:r>
        <w:rPr>
          <w:rFonts w:ascii="GHEA Grapalat" w:eastAsia="Calibri" w:hAnsi="GHEA Grapalat" w:cs="Sylfaen"/>
          <w:sz w:val="22"/>
          <w:szCs w:val="22"/>
        </w:rPr>
        <w:t>2.8</w:t>
      </w:r>
      <w:r w:rsidRPr="00345A1C">
        <w:rPr>
          <w:rFonts w:ascii="GHEA Grapalat" w:eastAsia="Calibri" w:hAnsi="GHEA Grapalat" w:cs="Sylfaen"/>
          <w:sz w:val="22"/>
          <w:szCs w:val="22"/>
        </w:rPr>
        <w:t xml:space="preserve"> անգամ</w:t>
      </w:r>
      <w:r>
        <w:rPr>
          <w:rFonts w:ascii="GHEA Grapalat" w:eastAsia="Calibri" w:hAnsi="GHEA Grapalat" w:cs="Sylfaen"/>
          <w:sz w:val="22"/>
          <w:szCs w:val="22"/>
        </w:rPr>
        <w:t xml:space="preserve"> (2025</w:t>
      </w:r>
      <w:r w:rsidRPr="00345A1C">
        <w:rPr>
          <w:rFonts w:ascii="GHEA Grapalat" w:eastAsia="Calibri" w:hAnsi="GHEA Grapalat" w:cs="Sylfaen"/>
          <w:sz w:val="22"/>
          <w:szCs w:val="22"/>
        </w:rPr>
        <w:t>թ</w:t>
      </w:r>
      <w:r>
        <w:rPr>
          <w:rFonts w:ascii="GHEA Grapalat" w:eastAsia="Calibri" w:hAnsi="GHEA Grapalat" w:cs="Sylfaen"/>
          <w:sz w:val="22"/>
          <w:szCs w:val="22"/>
        </w:rPr>
        <w:t>. նույն ժամանակահատվածում՝</w:t>
      </w:r>
      <w:r w:rsidRPr="00345A1C">
        <w:rPr>
          <w:rFonts w:ascii="GHEA Grapalat" w:eastAsia="Calibri" w:hAnsi="GHEA Grapalat" w:cs="Sylfaen"/>
          <w:sz w:val="22"/>
          <w:szCs w:val="22"/>
        </w:rPr>
        <w:t xml:space="preserve"> </w:t>
      </w:r>
      <w:r>
        <w:rPr>
          <w:rFonts w:ascii="GHEA Grapalat" w:eastAsia="Calibri" w:hAnsi="GHEA Grapalat" w:cs="Sylfaen"/>
          <w:sz w:val="22"/>
          <w:szCs w:val="22"/>
        </w:rPr>
        <w:t xml:space="preserve">2 </w:t>
      </w:r>
      <w:r w:rsidRPr="00345A1C">
        <w:rPr>
          <w:rFonts w:ascii="GHEA Grapalat" w:eastAsia="Calibri" w:hAnsi="GHEA Grapalat" w:cs="Sylfaen"/>
          <w:sz w:val="22"/>
          <w:szCs w:val="22"/>
        </w:rPr>
        <w:t>անգամ), իսկ տեղաբաշխման ենթակա ծավալ/տեղաբաշխված ծավալ միջին հարաբերակցությունը կազմել է 1</w:t>
      </w:r>
      <w:r w:rsidRPr="002C0883">
        <w:rPr>
          <w:rFonts w:ascii="GHEA Grapalat" w:eastAsia="Calibri" w:hAnsi="GHEA Grapalat" w:cs="Sylfaen"/>
          <w:sz w:val="22"/>
          <w:szCs w:val="22"/>
        </w:rPr>
        <w:t>.2</w:t>
      </w:r>
      <w:r w:rsidRPr="00274A1B">
        <w:rPr>
          <w:rFonts w:ascii="GHEA Grapalat" w:eastAsia="Calibri" w:hAnsi="GHEA Grapalat" w:cs="Sylfaen"/>
          <w:sz w:val="22"/>
          <w:szCs w:val="22"/>
        </w:rPr>
        <w:t xml:space="preserve">` </w:t>
      </w:r>
      <w:r>
        <w:rPr>
          <w:rFonts w:ascii="GHEA Grapalat" w:eastAsia="Calibri" w:hAnsi="GHEA Grapalat" w:cs="Sylfaen"/>
          <w:sz w:val="22"/>
          <w:szCs w:val="22"/>
        </w:rPr>
        <w:t>անփոփոխ մնալով նախորդ տարվա նույն ժամանակահատվածի համեմատ։</w:t>
      </w:r>
    </w:p>
    <w:p w14:paraId="760A05F9" w14:textId="77777777" w:rsidR="00742EB9" w:rsidRPr="00345A1C" w:rsidRDefault="00742EB9" w:rsidP="00742EB9">
      <w:pPr>
        <w:spacing w:line="276" w:lineRule="auto"/>
        <w:ind w:firstLine="567"/>
        <w:jc w:val="both"/>
        <w:rPr>
          <w:rFonts w:ascii="GHEA Grapalat" w:eastAsia="Calibri" w:hAnsi="GHEA Grapalat" w:cs="Sylfaen"/>
          <w:sz w:val="22"/>
          <w:szCs w:val="22"/>
        </w:rPr>
      </w:pPr>
    </w:p>
    <w:p w14:paraId="7994239B" w14:textId="77777777" w:rsidR="00742EB9" w:rsidRPr="00F26D94" w:rsidRDefault="00742EB9" w:rsidP="00F73C0E">
      <w:pPr>
        <w:pStyle w:val="a0"/>
      </w:pPr>
      <w:r w:rsidRPr="00F26D94">
        <w:t>ՀՀ</w:t>
      </w:r>
      <w:r>
        <w:t xml:space="preserve"> </w:t>
      </w:r>
      <w:r w:rsidRPr="00F71407">
        <w:t>պետական</w:t>
      </w:r>
      <w:r w:rsidRPr="00F26D94">
        <w:t xml:space="preserve"> պարտատոմսերի առաջնային շուկայի զարգացումները 2021-2026թթ</w:t>
      </w:r>
      <w:r w:rsidRPr="00F26D94">
        <w:rPr>
          <w:rFonts w:ascii="Cambria Math" w:hAnsi="Cambria Math" w:cs="Cambria Math"/>
        </w:rPr>
        <w:t>․</w:t>
      </w:r>
    </w:p>
    <w:p w14:paraId="4326DEC7" w14:textId="77777777" w:rsidR="00742EB9" w:rsidRPr="00307343" w:rsidRDefault="00742EB9" w:rsidP="00742EB9">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lang w:val="en-US"/>
        </w:rPr>
        <w:drawing>
          <wp:inline distT="0" distB="0" distL="0" distR="0" wp14:anchorId="26C62968" wp14:editId="1B2F3FB8">
            <wp:extent cx="3168000" cy="2664000"/>
            <wp:effectExtent l="0" t="0" r="13970" b="317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Pr="00345A1C">
        <w:rPr>
          <w:rFonts w:ascii="GHEA Grapalat" w:eastAsia="Calibri" w:hAnsi="GHEA Grapalat" w:cs="Sylfaen"/>
          <w:sz w:val="22"/>
          <w:szCs w:val="22"/>
          <w:lang w:val="en-US"/>
        </w:rPr>
        <w:drawing>
          <wp:inline distT="0" distB="0" distL="0" distR="0" wp14:anchorId="7EAC2D83" wp14:editId="2E5AF938">
            <wp:extent cx="3168000" cy="2664000"/>
            <wp:effectExtent l="0" t="0" r="13970" b="317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345A1C">
        <w:rPr>
          <w:rFonts w:ascii="GHEA Grapalat" w:eastAsia="Calibri" w:hAnsi="GHEA Grapalat" w:cs="Sylfaen"/>
          <w:sz w:val="22"/>
          <w:szCs w:val="22"/>
        </w:rPr>
        <w:t xml:space="preserve"> </w:t>
      </w:r>
    </w:p>
    <w:p w14:paraId="453D60AB" w14:textId="77777777" w:rsidR="00742EB9" w:rsidRPr="00BC2C75" w:rsidRDefault="00742EB9" w:rsidP="00742EB9">
      <w:pPr>
        <w:spacing w:line="276" w:lineRule="auto"/>
        <w:jc w:val="both"/>
        <w:rPr>
          <w:rFonts w:ascii="GHEA Grapalat" w:eastAsia="Calibri" w:hAnsi="GHEA Grapalat" w:cs="Sylfaen"/>
          <w:i/>
          <w:sz w:val="16"/>
          <w:szCs w:val="16"/>
        </w:rPr>
      </w:pPr>
      <w:r w:rsidRPr="00BC2C75">
        <w:rPr>
          <w:rFonts w:ascii="GHEA Grapalat" w:hAnsi="GHEA Grapalat"/>
          <w:i/>
          <w:sz w:val="16"/>
          <w:szCs w:val="16"/>
        </w:rPr>
        <w:t>Աղբյուրը՝ ՀՀ ՖՆ</w:t>
      </w:r>
    </w:p>
    <w:p w14:paraId="5EB25AEF" w14:textId="77777777" w:rsidR="00742EB9" w:rsidRPr="00F26D94" w:rsidRDefault="00742EB9" w:rsidP="00742EB9">
      <w:pPr>
        <w:spacing w:line="276" w:lineRule="auto"/>
        <w:ind w:firstLine="567"/>
        <w:jc w:val="both"/>
        <w:rPr>
          <w:rFonts w:ascii="GHEA Grapalat" w:eastAsia="Calibri" w:hAnsi="GHEA Grapalat" w:cs="Sylfaen"/>
          <w:sz w:val="22"/>
          <w:szCs w:val="22"/>
        </w:rPr>
      </w:pPr>
    </w:p>
    <w:p w14:paraId="7B57625B" w14:textId="77777777" w:rsidR="00742EB9" w:rsidRPr="00C31170" w:rsidRDefault="00742EB9" w:rsidP="00742EB9">
      <w:pPr>
        <w:spacing w:line="276" w:lineRule="auto"/>
        <w:ind w:firstLine="567"/>
        <w:jc w:val="both"/>
        <w:rPr>
          <w:rFonts w:ascii="GHEA Grapalat" w:eastAsia="Calibri" w:hAnsi="GHEA Grapalat" w:cs="Sylfaen"/>
          <w:sz w:val="22"/>
          <w:szCs w:val="22"/>
        </w:rPr>
      </w:pPr>
      <w:r w:rsidRPr="00D70CAF">
        <w:rPr>
          <w:rFonts w:ascii="GHEA Grapalat" w:hAnsi="GHEA Grapalat" w:cs="GHEA Grapalat"/>
          <w:b/>
          <w:i/>
          <w:sz w:val="22"/>
          <w:szCs w:val="22"/>
        </w:rPr>
        <w:t>ՀՀ եվրապարտատոմսերի շուկա:</w:t>
      </w:r>
      <w:r w:rsidRPr="00D70CAF">
        <w:rPr>
          <w:rFonts w:ascii="GHEA Grapalat" w:hAnsi="GHEA Grapalat" w:cs="GHEA Grapalat"/>
          <w:sz w:val="22"/>
          <w:szCs w:val="22"/>
        </w:rPr>
        <w:t xml:space="preserve"> </w:t>
      </w:r>
      <w:r w:rsidRPr="00F26D94">
        <w:rPr>
          <w:rFonts w:ascii="GHEA Grapalat" w:eastAsia="Calibri" w:hAnsi="GHEA Grapalat" w:cs="Sylfaen"/>
          <w:sz w:val="22"/>
          <w:szCs w:val="22"/>
        </w:rPr>
        <w:t xml:space="preserve">ՀՀ եվրապարտատոմսերի երկրորդային շուկայում եկամտաբերությունները 2026թ. առաջին </w:t>
      </w:r>
      <w:r>
        <w:rPr>
          <w:rFonts w:ascii="GHEA Grapalat" w:eastAsia="Calibri" w:hAnsi="GHEA Grapalat" w:cs="Sylfaen"/>
          <w:sz w:val="22"/>
          <w:szCs w:val="22"/>
        </w:rPr>
        <w:t>կիսամյակում</w:t>
      </w:r>
      <w:r w:rsidRPr="00F26D94">
        <w:rPr>
          <w:rFonts w:ascii="GHEA Grapalat" w:eastAsia="Calibri" w:hAnsi="GHEA Grapalat" w:cs="Sylfaen"/>
          <w:sz w:val="22"/>
          <w:szCs w:val="22"/>
        </w:rPr>
        <w:t xml:space="preserve"> նախորդ տարվա համեմատ նվազել են՝ պայմանավորված երկրի ռիսկի հավելավճարի ավելի ցածր մակարդակով։ </w:t>
      </w:r>
      <w:r>
        <w:rPr>
          <w:rFonts w:ascii="GHEA Grapalat" w:eastAsia="Calibri" w:hAnsi="GHEA Grapalat" w:cs="Sylfaen"/>
          <w:sz w:val="22"/>
          <w:szCs w:val="22"/>
        </w:rPr>
        <w:t>2019թ.</w:t>
      </w:r>
      <w:r w:rsidRPr="00D70CAF">
        <w:rPr>
          <w:rFonts w:ascii="GHEA Grapalat" w:eastAsia="Calibri" w:hAnsi="GHEA Grapalat" w:cs="Sylfaen"/>
          <w:sz w:val="22"/>
          <w:szCs w:val="22"/>
        </w:rPr>
        <w:t xml:space="preserve"> 4.2% եկամտաբերությամբ թողարկված պարտատոմսերի եկամտաբերությունը </w:t>
      </w:r>
      <w:r>
        <w:rPr>
          <w:rFonts w:ascii="GHEA Grapalat" w:eastAsia="Calibri" w:hAnsi="GHEA Grapalat" w:cs="Sylfaen"/>
          <w:sz w:val="22"/>
          <w:szCs w:val="22"/>
        </w:rPr>
        <w:t xml:space="preserve">հունվար-հունիս ամիսներին </w:t>
      </w:r>
      <w:r w:rsidRPr="00D70CAF">
        <w:rPr>
          <w:rFonts w:ascii="GHEA Grapalat" w:eastAsia="Calibri" w:hAnsi="GHEA Grapalat" w:cs="Sylfaen"/>
          <w:sz w:val="22"/>
          <w:szCs w:val="22"/>
        </w:rPr>
        <w:t>միջինում կազմել է</w:t>
      </w:r>
      <w:r>
        <w:rPr>
          <w:rFonts w:ascii="GHEA Grapalat" w:eastAsia="Calibri" w:hAnsi="GHEA Grapalat" w:cs="Sylfaen"/>
          <w:sz w:val="22"/>
          <w:szCs w:val="22"/>
        </w:rPr>
        <w:t xml:space="preserve"> 5.4%` 2025</w:t>
      </w:r>
      <w:r w:rsidRPr="00D70CAF">
        <w:rPr>
          <w:rFonts w:ascii="GHEA Grapalat" w:eastAsia="Calibri" w:hAnsi="GHEA Grapalat" w:cs="Sylfaen"/>
          <w:sz w:val="22"/>
          <w:szCs w:val="22"/>
        </w:rPr>
        <w:t>թ</w:t>
      </w:r>
      <w:r>
        <w:rPr>
          <w:rFonts w:ascii="GHEA Grapalat" w:eastAsia="Calibri" w:hAnsi="GHEA Grapalat" w:cs="Sylfaen"/>
          <w:sz w:val="22"/>
          <w:szCs w:val="22"/>
        </w:rPr>
        <w:t>.</w:t>
      </w:r>
      <w:r w:rsidRPr="00D70CAF">
        <w:rPr>
          <w:rFonts w:ascii="GHEA Grapalat" w:eastAsia="Calibri" w:hAnsi="GHEA Grapalat" w:cs="Sylfaen"/>
          <w:sz w:val="22"/>
          <w:szCs w:val="22"/>
        </w:rPr>
        <w:t xml:space="preserve"> </w:t>
      </w:r>
      <w:r>
        <w:rPr>
          <w:rFonts w:ascii="GHEA Grapalat" w:eastAsia="Calibri" w:hAnsi="GHEA Grapalat" w:cs="Sylfaen"/>
          <w:sz w:val="22"/>
          <w:szCs w:val="22"/>
        </w:rPr>
        <w:t xml:space="preserve">նույն ժամանակահատվածում </w:t>
      </w:r>
      <w:r w:rsidRPr="00D70CAF">
        <w:rPr>
          <w:rFonts w:ascii="GHEA Grapalat" w:eastAsia="Calibri" w:hAnsi="GHEA Grapalat" w:cs="Sylfaen"/>
          <w:sz w:val="22"/>
          <w:szCs w:val="22"/>
        </w:rPr>
        <w:t xml:space="preserve">գրանցված </w:t>
      </w:r>
      <w:r>
        <w:rPr>
          <w:rFonts w:ascii="GHEA Grapalat" w:eastAsia="Calibri" w:hAnsi="GHEA Grapalat" w:cs="Sylfaen"/>
          <w:sz w:val="22"/>
          <w:szCs w:val="22"/>
        </w:rPr>
        <w:t>6.7</w:t>
      </w:r>
      <w:r w:rsidRPr="00D70CAF">
        <w:rPr>
          <w:rFonts w:ascii="GHEA Grapalat" w:eastAsia="Calibri" w:hAnsi="GHEA Grapalat" w:cs="Sylfaen"/>
          <w:sz w:val="22"/>
          <w:szCs w:val="22"/>
        </w:rPr>
        <w:t>%-ի դիմաց, իսկ</w:t>
      </w:r>
      <w:r>
        <w:rPr>
          <w:rFonts w:ascii="GHEA Grapalat" w:eastAsia="Calibri" w:hAnsi="GHEA Grapalat" w:cs="Sylfaen"/>
          <w:sz w:val="22"/>
          <w:szCs w:val="22"/>
        </w:rPr>
        <w:t xml:space="preserve"> 2021</w:t>
      </w:r>
      <w:r w:rsidRPr="00D70CAF">
        <w:rPr>
          <w:rFonts w:ascii="GHEA Grapalat" w:eastAsia="Calibri" w:hAnsi="GHEA Grapalat" w:cs="Sylfaen"/>
          <w:sz w:val="22"/>
          <w:szCs w:val="22"/>
        </w:rPr>
        <w:t>թ</w:t>
      </w:r>
      <w:r>
        <w:rPr>
          <w:rFonts w:ascii="GHEA Grapalat" w:eastAsia="Calibri" w:hAnsi="GHEA Grapalat" w:cs="Sylfaen"/>
          <w:sz w:val="22"/>
          <w:szCs w:val="22"/>
        </w:rPr>
        <w:t>.</w:t>
      </w:r>
      <w:r w:rsidRPr="00D70CAF">
        <w:rPr>
          <w:rFonts w:ascii="GHEA Grapalat" w:eastAsia="Calibri" w:hAnsi="GHEA Grapalat" w:cs="Sylfaen"/>
          <w:sz w:val="22"/>
          <w:szCs w:val="22"/>
        </w:rPr>
        <w:t xml:space="preserve"> փետրվարին 3.9% եկամտաբերությամբ թողարկված պարտատոմսերի եկամտաբերությունը միջինում կազմել է </w:t>
      </w:r>
      <w:r>
        <w:rPr>
          <w:rFonts w:ascii="GHEA Grapalat" w:eastAsia="Calibri" w:hAnsi="GHEA Grapalat" w:cs="Sylfaen"/>
          <w:sz w:val="22"/>
          <w:szCs w:val="22"/>
        </w:rPr>
        <w:t>5.7</w:t>
      </w:r>
      <w:r w:rsidRPr="00D70CAF">
        <w:rPr>
          <w:rFonts w:ascii="GHEA Grapalat" w:eastAsia="Calibri" w:hAnsi="GHEA Grapalat" w:cs="Sylfaen"/>
          <w:sz w:val="22"/>
          <w:szCs w:val="22"/>
        </w:rPr>
        <w:t xml:space="preserve">%` նախորդ տարվա </w:t>
      </w:r>
      <w:r>
        <w:rPr>
          <w:rFonts w:ascii="GHEA Grapalat" w:eastAsia="Calibri" w:hAnsi="GHEA Grapalat" w:cs="Sylfaen"/>
          <w:sz w:val="22"/>
          <w:szCs w:val="22"/>
        </w:rPr>
        <w:t>6.9</w:t>
      </w:r>
      <w:r w:rsidRPr="00D70CAF">
        <w:rPr>
          <w:rFonts w:ascii="GHEA Grapalat" w:eastAsia="Calibri" w:hAnsi="GHEA Grapalat" w:cs="Sylfaen"/>
          <w:sz w:val="22"/>
          <w:szCs w:val="22"/>
        </w:rPr>
        <w:t>%-ի համեմատությամբ։</w:t>
      </w:r>
      <w:r>
        <w:rPr>
          <w:rFonts w:ascii="GHEA Grapalat" w:eastAsia="Calibri" w:hAnsi="GHEA Grapalat" w:cs="Sylfaen"/>
          <w:sz w:val="22"/>
          <w:szCs w:val="22"/>
        </w:rPr>
        <w:t xml:space="preserve"> 2025թ.</w:t>
      </w:r>
      <w:r w:rsidRPr="00274A1B">
        <w:rPr>
          <w:rFonts w:ascii="GHEA Grapalat" w:eastAsia="Calibri" w:hAnsi="GHEA Grapalat" w:cs="Sylfaen"/>
          <w:sz w:val="22"/>
          <w:szCs w:val="22"/>
        </w:rPr>
        <w:t xml:space="preserve"> </w:t>
      </w:r>
      <w:r>
        <w:rPr>
          <w:rFonts w:ascii="GHEA Grapalat" w:eastAsia="Calibri" w:hAnsi="GHEA Grapalat" w:cs="Sylfaen"/>
          <w:sz w:val="22"/>
          <w:szCs w:val="22"/>
        </w:rPr>
        <w:t>մարտի 5-ին միջազգային կապիտալի շուկայում տեղաբաշխված արտարժութային պարտատոմսերի եկամտաբերությունը կազմել է 6.1</w:t>
      </w:r>
      <w:r w:rsidRPr="00190B6C">
        <w:rPr>
          <w:rFonts w:ascii="GHEA Grapalat" w:eastAsia="Calibri" w:hAnsi="GHEA Grapalat" w:cs="Sylfaen"/>
          <w:sz w:val="22"/>
          <w:szCs w:val="22"/>
        </w:rPr>
        <w:t>%</w:t>
      </w:r>
      <w:r>
        <w:rPr>
          <w:rFonts w:ascii="GHEA Grapalat" w:eastAsia="Calibri" w:hAnsi="GHEA Grapalat" w:cs="Sylfaen"/>
          <w:sz w:val="22"/>
          <w:szCs w:val="22"/>
        </w:rPr>
        <w:t>:</w:t>
      </w:r>
    </w:p>
    <w:p w14:paraId="62652D99" w14:textId="77777777" w:rsidR="00742EB9" w:rsidRDefault="00742EB9" w:rsidP="00742EB9">
      <w:pPr>
        <w:spacing w:line="276" w:lineRule="auto"/>
        <w:ind w:firstLine="567"/>
        <w:jc w:val="both"/>
        <w:rPr>
          <w:rFonts w:ascii="GHEA Grapalat" w:eastAsia="Calibri" w:hAnsi="GHEA Grapalat" w:cs="Sylfaen"/>
          <w:sz w:val="22"/>
          <w:szCs w:val="22"/>
        </w:rPr>
      </w:pPr>
      <w:r w:rsidRPr="00ED16A8">
        <w:rPr>
          <w:rFonts w:ascii="GHEA Grapalat" w:eastAsia="Calibri" w:hAnsi="GHEA Grapalat" w:cs="Sylfaen"/>
          <w:sz w:val="22"/>
          <w:szCs w:val="22"/>
        </w:rPr>
        <w:t xml:space="preserve">Պետք է նշել, որ 2026թ. առաջին կիսամյակում տոկոսադրույքները զարգացած երկրներում պահպանվել են բարձր մակարդակում. դրամավարկային քաղաքականության դիրքը շարունակում է զսպող լինել: ԱՄՆ 10 տարի ժամկետայնությամբ պետական պարտատոմսերի եկամտաբերությունը </w:t>
      </w:r>
      <w:r w:rsidRPr="00ED16A8">
        <w:rPr>
          <w:rFonts w:ascii="GHEA Grapalat" w:eastAsia="Calibri" w:hAnsi="GHEA Grapalat" w:cs="Sylfaen"/>
          <w:sz w:val="22"/>
          <w:szCs w:val="22"/>
        </w:rPr>
        <w:lastRenderedPageBreak/>
        <w:t>2026թ</w:t>
      </w:r>
      <w:r w:rsidRPr="00ED16A8">
        <w:rPr>
          <w:rFonts w:ascii="Cambria Math" w:eastAsia="Calibri" w:hAnsi="Cambria Math" w:cs="Sylfaen"/>
          <w:sz w:val="22"/>
          <w:szCs w:val="22"/>
        </w:rPr>
        <w:t>․</w:t>
      </w:r>
      <w:r w:rsidRPr="00ED16A8">
        <w:rPr>
          <w:rFonts w:ascii="GHEA Grapalat" w:eastAsia="Calibri" w:hAnsi="GHEA Grapalat" w:cs="Sylfaen"/>
          <w:sz w:val="22"/>
          <w:szCs w:val="22"/>
        </w:rPr>
        <w:t xml:space="preserve"> առաջին </w:t>
      </w:r>
      <w:r w:rsidRPr="002C0883">
        <w:rPr>
          <w:rFonts w:ascii="GHEA Grapalat" w:eastAsia="Calibri" w:hAnsi="GHEA Grapalat" w:cs="Sylfaen"/>
          <w:sz w:val="22"/>
          <w:szCs w:val="22"/>
        </w:rPr>
        <w:t>կիսամյակում</w:t>
      </w:r>
      <w:r w:rsidRPr="00ED16A8">
        <w:rPr>
          <w:rFonts w:ascii="GHEA Grapalat" w:eastAsia="Calibri" w:hAnsi="GHEA Grapalat" w:cs="Sylfaen"/>
          <w:sz w:val="22"/>
          <w:szCs w:val="22"/>
        </w:rPr>
        <w:t xml:space="preserve"> միջինում կազմել է 4.</w:t>
      </w:r>
      <w:r w:rsidRPr="002C0883">
        <w:rPr>
          <w:rFonts w:ascii="GHEA Grapalat" w:eastAsia="Calibri" w:hAnsi="GHEA Grapalat" w:cs="Sylfaen"/>
          <w:sz w:val="22"/>
          <w:szCs w:val="22"/>
        </w:rPr>
        <w:t>3</w:t>
      </w:r>
      <w:r w:rsidRPr="00ED16A8">
        <w:rPr>
          <w:rFonts w:ascii="GHEA Grapalat" w:eastAsia="Calibri" w:hAnsi="GHEA Grapalat" w:cs="Sylfaen"/>
          <w:sz w:val="22"/>
          <w:szCs w:val="22"/>
        </w:rPr>
        <w:t>%` 2025թ</w:t>
      </w:r>
      <w:r w:rsidRPr="00ED16A8">
        <w:rPr>
          <w:rFonts w:ascii="Cambria Math" w:eastAsia="Calibri" w:hAnsi="Cambria Math" w:cs="Cambria Math"/>
          <w:sz w:val="22"/>
          <w:szCs w:val="22"/>
        </w:rPr>
        <w:t>․</w:t>
      </w:r>
      <w:r w:rsidRPr="00ED16A8">
        <w:rPr>
          <w:rFonts w:ascii="GHEA Grapalat" w:eastAsia="Calibri" w:hAnsi="GHEA Grapalat" w:cs="Sylfaen"/>
          <w:sz w:val="22"/>
          <w:szCs w:val="22"/>
        </w:rPr>
        <w:t xml:space="preserve"> առաջին </w:t>
      </w:r>
      <w:r w:rsidRPr="002C0883">
        <w:rPr>
          <w:rFonts w:ascii="GHEA Grapalat" w:eastAsia="Calibri" w:hAnsi="GHEA Grapalat" w:cs="Sylfaen"/>
          <w:sz w:val="22"/>
          <w:szCs w:val="22"/>
        </w:rPr>
        <w:t>կիսամյակի</w:t>
      </w:r>
      <w:r w:rsidRPr="00ED16A8">
        <w:rPr>
          <w:rFonts w:ascii="GHEA Grapalat" w:eastAsia="Calibri" w:hAnsi="GHEA Grapalat" w:cs="Sylfaen"/>
          <w:sz w:val="22"/>
          <w:szCs w:val="22"/>
        </w:rPr>
        <w:t xml:space="preserve"> 4.</w:t>
      </w:r>
      <w:r w:rsidRPr="002C0883">
        <w:rPr>
          <w:rFonts w:ascii="GHEA Grapalat" w:eastAsia="Calibri" w:hAnsi="GHEA Grapalat" w:cs="Sylfaen"/>
          <w:sz w:val="22"/>
          <w:szCs w:val="22"/>
        </w:rPr>
        <w:t>4</w:t>
      </w:r>
      <w:r w:rsidRPr="00ED16A8">
        <w:rPr>
          <w:rFonts w:ascii="GHEA Grapalat" w:eastAsia="Calibri" w:hAnsi="GHEA Grapalat" w:cs="Sylfaen"/>
          <w:sz w:val="22"/>
          <w:szCs w:val="22"/>
        </w:rPr>
        <w:t xml:space="preserve">%-ի համեմատ` թեպետ քաղաքականության տոկոսադրույքը նվազել է շուրջ 0.7 տոկոսային կետով։ 2026թ. առաջին </w:t>
      </w:r>
      <w:r w:rsidRPr="002C0883">
        <w:rPr>
          <w:rFonts w:ascii="GHEA Grapalat" w:eastAsia="Calibri" w:hAnsi="GHEA Grapalat" w:cs="Sylfaen"/>
          <w:sz w:val="22"/>
          <w:szCs w:val="22"/>
        </w:rPr>
        <w:t>կիսամյակում</w:t>
      </w:r>
      <w:r w:rsidRPr="00ED16A8">
        <w:rPr>
          <w:rFonts w:ascii="GHEA Grapalat" w:eastAsia="Calibri" w:hAnsi="GHEA Grapalat" w:cs="Sylfaen"/>
          <w:sz w:val="22"/>
          <w:szCs w:val="22"/>
        </w:rPr>
        <w:t xml:space="preserve"> զարգացող երկրների ռիսկի հավելավճարներն էականորեն ցածր մակարդակում են եղել 2025թ</w:t>
      </w:r>
      <w:r w:rsidRPr="00ED16A8">
        <w:rPr>
          <w:rFonts w:ascii="Cambria Math" w:eastAsia="Calibri" w:hAnsi="Cambria Math" w:cs="Cambria Math"/>
          <w:sz w:val="22"/>
          <w:szCs w:val="22"/>
        </w:rPr>
        <w:t>․</w:t>
      </w:r>
      <w:r w:rsidRPr="00ED16A8">
        <w:rPr>
          <w:rFonts w:ascii="GHEA Grapalat" w:eastAsia="Calibri" w:hAnsi="GHEA Grapalat" w:cs="Sylfaen"/>
          <w:sz w:val="22"/>
          <w:szCs w:val="22"/>
        </w:rPr>
        <w:t xml:space="preserve"> նույն ժամանակահատվածի համեմատ, ինչը պայմանավորված է ինչպես զարգացած երկրներում տոկոսադրույքների հետագա նվազման սպասումներով, այնպես էլ առանձին զարգացող երկրներում դրական տնտեսական հեռանկարներով։</w:t>
      </w:r>
    </w:p>
    <w:p w14:paraId="5E934030" w14:textId="77777777" w:rsidR="00742EB9" w:rsidRPr="0003793E" w:rsidRDefault="00742EB9" w:rsidP="00742EB9">
      <w:pPr>
        <w:spacing w:line="276" w:lineRule="auto"/>
        <w:ind w:firstLine="567"/>
        <w:jc w:val="both"/>
        <w:rPr>
          <w:rFonts w:ascii="GHEA Grapalat" w:eastAsia="Calibri" w:hAnsi="GHEA Grapalat" w:cs="Sylfaen"/>
          <w:sz w:val="22"/>
          <w:szCs w:val="22"/>
        </w:rPr>
      </w:pPr>
    </w:p>
    <w:p w14:paraId="52126A12" w14:textId="77777777" w:rsidR="00742EB9" w:rsidRPr="00960069" w:rsidRDefault="00742EB9" w:rsidP="00F73C0E">
      <w:pPr>
        <w:pStyle w:val="a0"/>
      </w:pPr>
      <w:r w:rsidRPr="00960069">
        <w:t>ՀՀ եվրապարտատոմսերի եկամտաբերությունները և ռիսկի հավելավճարը 2021-2026թթ</w:t>
      </w:r>
      <w:r w:rsidRPr="00960069">
        <w:rPr>
          <w:rFonts w:ascii="Cambria Math" w:hAnsi="Cambria Math" w:cs="Cambria Math"/>
        </w:rPr>
        <w:t>․</w:t>
      </w:r>
    </w:p>
    <w:p w14:paraId="277C1F50" w14:textId="77777777" w:rsidR="00742EB9" w:rsidRPr="00345A1C" w:rsidRDefault="00742EB9" w:rsidP="00742EB9">
      <w:pPr>
        <w:spacing w:line="276" w:lineRule="auto"/>
        <w:jc w:val="both"/>
        <w:rPr>
          <w:rFonts w:ascii="GHEA Grapalat" w:hAnsi="GHEA Grapalat" w:cs="GHEA Grapalat"/>
          <w:sz w:val="22"/>
          <w:szCs w:val="22"/>
        </w:rPr>
      </w:pPr>
      <w:r w:rsidRPr="00BC2C75">
        <w:rPr>
          <w:rFonts w:ascii="GHEA Grapalat" w:hAnsi="GHEA Grapalat"/>
          <w:lang w:val="en-US"/>
        </w:rPr>
        <w:drawing>
          <wp:inline distT="0" distB="0" distL="0" distR="0" wp14:anchorId="7317B248" wp14:editId="6EA175AE">
            <wp:extent cx="3228229" cy="2663825"/>
            <wp:effectExtent l="0" t="0" r="10795" b="3175"/>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rsidRPr="00345A1C">
        <w:rPr>
          <w:rFonts w:ascii="GHEA Grapalat" w:hAnsi="GHEA Grapalat" w:cs="GHEA Grapalat"/>
          <w:sz w:val="22"/>
          <w:szCs w:val="22"/>
          <w:lang w:val="en-US"/>
        </w:rPr>
        <w:drawing>
          <wp:inline distT="0" distB="0" distL="0" distR="0" wp14:anchorId="227DF93D" wp14:editId="17AEFA59">
            <wp:extent cx="3236181" cy="2663825"/>
            <wp:effectExtent l="0" t="0" r="2540" b="317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FCA13AE" w14:textId="77777777" w:rsidR="00742EB9" w:rsidRPr="00BC2C75" w:rsidRDefault="00742EB9" w:rsidP="00742EB9">
      <w:pPr>
        <w:jc w:val="both"/>
        <w:rPr>
          <w:rFonts w:ascii="GHEA Grapalat" w:hAnsi="GHEA Grapalat" w:cs="GHEA Grapalat"/>
          <w:i/>
          <w:iCs/>
          <w:sz w:val="16"/>
          <w:szCs w:val="16"/>
        </w:rPr>
      </w:pPr>
      <w:r w:rsidRPr="00BC2C75">
        <w:rPr>
          <w:rFonts w:ascii="GHEA Grapalat" w:hAnsi="GHEA Grapalat"/>
          <w:i/>
          <w:iCs/>
          <w:sz w:val="16"/>
          <w:szCs w:val="16"/>
        </w:rPr>
        <w:t xml:space="preserve">Աղբյուրը՝ ՀՀ ՖՆ։ Ռիսկի հավելավճարը ՀՀ ՖՆ գնահատումներն </w:t>
      </w:r>
      <w:r>
        <w:rPr>
          <w:rFonts w:ascii="GHEA Grapalat" w:hAnsi="GHEA Grapalat"/>
          <w:i/>
          <w:iCs/>
          <w:sz w:val="16"/>
          <w:szCs w:val="16"/>
        </w:rPr>
        <w:t>են՝ հաշվարկված որպես ՀՀ եվրապարտատոմսերի</w:t>
      </w:r>
      <w:r w:rsidRPr="00BC2C75">
        <w:rPr>
          <w:rFonts w:ascii="GHEA Grapalat" w:hAnsi="GHEA Grapalat"/>
          <w:i/>
          <w:iCs/>
          <w:sz w:val="16"/>
          <w:szCs w:val="16"/>
        </w:rPr>
        <w:t xml:space="preserve"> և ԱՄՆ պետական պարտատոմսերի եկամտաբերությունների տարբերություն</w:t>
      </w:r>
    </w:p>
    <w:p w14:paraId="6661EF52" w14:textId="77777777" w:rsidR="00742EB9" w:rsidRDefault="00742EB9" w:rsidP="00742EB9">
      <w:pPr>
        <w:spacing w:line="276" w:lineRule="auto"/>
        <w:ind w:firstLine="567"/>
        <w:jc w:val="both"/>
        <w:rPr>
          <w:rFonts w:ascii="GHEA Grapalat" w:eastAsia="Calibri" w:hAnsi="GHEA Grapalat" w:cs="Sylfaen"/>
          <w:sz w:val="22"/>
          <w:szCs w:val="22"/>
        </w:rPr>
      </w:pPr>
    </w:p>
    <w:p w14:paraId="56271952" w14:textId="77777777" w:rsidR="00742EB9" w:rsidRPr="00F67AB3" w:rsidRDefault="00742EB9" w:rsidP="00742EB9">
      <w:pPr>
        <w:spacing w:line="276" w:lineRule="auto"/>
        <w:ind w:firstLine="567"/>
        <w:jc w:val="both"/>
        <w:rPr>
          <w:rFonts w:ascii="GHEA Grapalat" w:eastAsia="Calibri" w:hAnsi="GHEA Grapalat" w:cs="Sylfaen"/>
          <w:sz w:val="22"/>
          <w:szCs w:val="22"/>
        </w:rPr>
      </w:pPr>
      <w:r w:rsidRPr="001D6EEF">
        <w:rPr>
          <w:rFonts w:ascii="GHEA Grapalat" w:eastAsia="Calibri" w:hAnsi="GHEA Grapalat" w:cs="Sylfaen"/>
          <w:sz w:val="22"/>
          <w:szCs w:val="22"/>
        </w:rPr>
        <w:t xml:space="preserve">ՀՀ երկրի ռիսկի հավելավճարը </w:t>
      </w:r>
      <w:r>
        <w:rPr>
          <w:rFonts w:ascii="GHEA Grapalat" w:eastAsia="Calibri" w:hAnsi="GHEA Grapalat" w:cs="Sylfaen"/>
          <w:sz w:val="22"/>
          <w:szCs w:val="22"/>
        </w:rPr>
        <w:t xml:space="preserve">նվազել է նախորդ տարվա համեմատությամբ և </w:t>
      </w:r>
      <w:r w:rsidRPr="001D6EEF">
        <w:rPr>
          <w:rFonts w:ascii="GHEA Grapalat" w:eastAsia="Calibri" w:hAnsi="GHEA Grapalat" w:cs="Sylfaen"/>
          <w:sz w:val="22"/>
          <w:szCs w:val="22"/>
        </w:rPr>
        <w:t>գտնվել</w:t>
      </w:r>
      <w:r>
        <w:rPr>
          <w:rFonts w:ascii="GHEA Grapalat" w:eastAsia="Calibri" w:hAnsi="GHEA Grapalat" w:cs="Sylfaen"/>
          <w:sz w:val="22"/>
          <w:szCs w:val="22"/>
        </w:rPr>
        <w:t xml:space="preserve"> ընդհանուր առմամբ</w:t>
      </w:r>
      <w:r w:rsidRPr="001D6EEF">
        <w:rPr>
          <w:rFonts w:ascii="GHEA Grapalat" w:eastAsia="Calibri" w:hAnsi="GHEA Grapalat" w:cs="Sylfaen"/>
          <w:sz w:val="22"/>
          <w:szCs w:val="22"/>
        </w:rPr>
        <w:t xml:space="preserve"> ցածր մակարդակում, ինչը պայմանավորված է Հայաստանի տնտեսական կայուն միջավայրով և իրականացվող խելամիտ մակրոտնտեսական քաղաքականություններով</w:t>
      </w:r>
      <w:r w:rsidRPr="000D162B">
        <w:rPr>
          <w:rFonts w:ascii="GHEA Grapalat" w:eastAsia="Calibri" w:hAnsi="GHEA Grapalat" w:cs="Sylfaen"/>
          <w:sz w:val="22"/>
          <w:szCs w:val="22"/>
        </w:rPr>
        <w:t xml:space="preserve">, </w:t>
      </w:r>
      <w:r>
        <w:rPr>
          <w:rFonts w:ascii="GHEA Grapalat" w:eastAsia="Calibri" w:hAnsi="GHEA Grapalat" w:cs="Sylfaen"/>
          <w:sz w:val="22"/>
          <w:szCs w:val="22"/>
        </w:rPr>
        <w:t xml:space="preserve">կայուն </w:t>
      </w:r>
      <w:r w:rsidRPr="001D6EEF">
        <w:rPr>
          <w:rFonts w:ascii="GHEA Grapalat" w:eastAsia="Calibri" w:hAnsi="GHEA Grapalat" w:cs="Sylfaen"/>
          <w:sz w:val="22"/>
          <w:szCs w:val="22"/>
        </w:rPr>
        <w:t>սուվերեն վարկանիշ</w:t>
      </w:r>
      <w:r>
        <w:rPr>
          <w:rFonts w:ascii="GHEA Grapalat" w:eastAsia="Calibri" w:hAnsi="GHEA Grapalat" w:cs="Sylfaen"/>
          <w:sz w:val="22"/>
          <w:szCs w:val="22"/>
        </w:rPr>
        <w:t>ով</w:t>
      </w:r>
      <w:r w:rsidRPr="001D6EEF">
        <w:rPr>
          <w:rFonts w:ascii="GHEA Grapalat" w:eastAsia="Calibri" w:hAnsi="GHEA Grapalat" w:cs="Sylfaen"/>
          <w:sz w:val="22"/>
          <w:szCs w:val="22"/>
        </w:rPr>
        <w:t>, ինչպես նաև ընդհանուր առմամբ զարգացող երկրների ռիսկի հավելավճարի շարունակվող նվազմամբ։</w:t>
      </w:r>
      <w:r>
        <w:rPr>
          <w:rFonts w:ascii="GHEA Grapalat" w:eastAsia="Calibri" w:hAnsi="GHEA Grapalat" w:cs="Sylfaen"/>
          <w:sz w:val="22"/>
          <w:szCs w:val="22"/>
        </w:rPr>
        <w:t xml:space="preserve"> 2029</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w:t>
      </w:r>
      <w:r>
        <w:rPr>
          <w:rFonts w:ascii="GHEA Grapalat" w:eastAsia="Calibri" w:hAnsi="GHEA Grapalat" w:cs="Sylfaen"/>
          <w:sz w:val="22"/>
          <w:szCs w:val="22"/>
        </w:rPr>
        <w:t>եվրապարտատոմսերի ռիսկի հավելավճարը 202</w:t>
      </w:r>
      <w:r w:rsidRPr="00D10479">
        <w:rPr>
          <w:rFonts w:ascii="GHEA Grapalat" w:eastAsia="Calibri" w:hAnsi="GHEA Grapalat" w:cs="Sylfaen"/>
          <w:sz w:val="22"/>
          <w:szCs w:val="22"/>
        </w:rPr>
        <w:t>6</w:t>
      </w:r>
      <w:r>
        <w:rPr>
          <w:rFonts w:ascii="GHEA Grapalat" w:eastAsia="Calibri" w:hAnsi="GHEA Grapalat" w:cs="Sylfaen"/>
          <w:sz w:val="22"/>
          <w:szCs w:val="22"/>
        </w:rPr>
        <w:t>թ. առաջին կիսամյակում կազմել է</w:t>
      </w:r>
      <w:r w:rsidRPr="00345A1C">
        <w:rPr>
          <w:rFonts w:ascii="GHEA Grapalat" w:eastAsia="Calibri" w:hAnsi="GHEA Grapalat" w:cs="Sylfaen"/>
          <w:sz w:val="22"/>
          <w:szCs w:val="22"/>
        </w:rPr>
        <w:t xml:space="preserve"> </w:t>
      </w:r>
      <w:r>
        <w:rPr>
          <w:rFonts w:ascii="GHEA Grapalat" w:eastAsia="Calibri" w:hAnsi="GHEA Grapalat" w:cs="Sylfaen"/>
          <w:sz w:val="22"/>
          <w:szCs w:val="22"/>
        </w:rPr>
        <w:t>157</w:t>
      </w:r>
      <w:r w:rsidRPr="00345A1C">
        <w:rPr>
          <w:rFonts w:ascii="GHEA Grapalat" w:eastAsia="Calibri" w:hAnsi="GHEA Grapalat" w:cs="Sylfaen"/>
          <w:sz w:val="22"/>
          <w:szCs w:val="22"/>
        </w:rPr>
        <w:t xml:space="preserve"> բազիսային կետ՝ նախորդ տարվա </w:t>
      </w:r>
      <w:r>
        <w:rPr>
          <w:rFonts w:ascii="GHEA Grapalat" w:eastAsia="Calibri" w:hAnsi="GHEA Grapalat" w:cs="Sylfaen"/>
          <w:sz w:val="22"/>
          <w:szCs w:val="22"/>
        </w:rPr>
        <w:t>256</w:t>
      </w:r>
      <w:r w:rsidRPr="00345A1C">
        <w:rPr>
          <w:rFonts w:ascii="GHEA Grapalat" w:eastAsia="Calibri" w:hAnsi="GHEA Grapalat" w:cs="Sylfaen"/>
          <w:sz w:val="22"/>
          <w:szCs w:val="22"/>
        </w:rPr>
        <w:t xml:space="preserve"> բազիսային կետ ցուցանիշի դիմաց, </w:t>
      </w:r>
      <w:r>
        <w:rPr>
          <w:rFonts w:ascii="GHEA Grapalat" w:eastAsia="Calibri" w:hAnsi="GHEA Grapalat" w:cs="Sylfaen"/>
          <w:sz w:val="22"/>
          <w:szCs w:val="22"/>
        </w:rPr>
        <w:t>2031</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պարտատոմսերինը՝ </w:t>
      </w:r>
      <w:r>
        <w:rPr>
          <w:rFonts w:ascii="GHEA Grapalat" w:eastAsia="Calibri" w:hAnsi="GHEA Grapalat" w:cs="Sylfaen"/>
          <w:sz w:val="22"/>
          <w:szCs w:val="22"/>
        </w:rPr>
        <w:t>173</w:t>
      </w:r>
      <w:r w:rsidRPr="00345A1C">
        <w:rPr>
          <w:rFonts w:ascii="GHEA Grapalat" w:eastAsia="Calibri" w:hAnsi="GHEA Grapalat" w:cs="Sylfaen"/>
          <w:sz w:val="22"/>
          <w:szCs w:val="22"/>
        </w:rPr>
        <w:t xml:space="preserve"> բազիսային կետ՝ նախորդ տարվա </w:t>
      </w:r>
      <w:r>
        <w:rPr>
          <w:rFonts w:ascii="GHEA Grapalat" w:eastAsia="Calibri" w:hAnsi="GHEA Grapalat" w:cs="Sylfaen"/>
          <w:sz w:val="22"/>
          <w:szCs w:val="22"/>
        </w:rPr>
        <w:t>276</w:t>
      </w:r>
      <w:r w:rsidRPr="00345A1C">
        <w:rPr>
          <w:rFonts w:ascii="GHEA Grapalat" w:eastAsia="Calibri" w:hAnsi="GHEA Grapalat" w:cs="Sylfaen"/>
          <w:sz w:val="22"/>
          <w:szCs w:val="22"/>
        </w:rPr>
        <w:t xml:space="preserve"> բազիսային կետ ցուցանիշի դիմաց</w:t>
      </w:r>
      <w:r>
        <w:rPr>
          <w:rFonts w:ascii="GHEA Grapalat" w:eastAsia="Calibri" w:hAnsi="GHEA Grapalat" w:cs="Sylfaen"/>
          <w:sz w:val="22"/>
          <w:szCs w:val="22"/>
        </w:rPr>
        <w:t>, իսկ 2035թ. մարվող պարտատոմսերի ռիսկի հավելավճարը՝ 180 բազիսային կետ</w:t>
      </w:r>
      <w:r w:rsidRPr="00345A1C">
        <w:rPr>
          <w:rFonts w:ascii="GHEA Grapalat" w:eastAsia="Calibri" w:hAnsi="GHEA Grapalat" w:cs="Sylfaen"/>
          <w:sz w:val="22"/>
          <w:szCs w:val="22"/>
        </w:rPr>
        <w:t>։</w:t>
      </w:r>
    </w:p>
    <w:sectPr w:rsidR="00742EB9" w:rsidRPr="00F67AB3" w:rsidSect="003D5FC7">
      <w:headerReference w:type="default" r:id="rId44"/>
      <w:footerReference w:type="default" r:id="rId45"/>
      <w:pgSz w:w="11909" w:h="16834" w:code="9"/>
      <w:pgMar w:top="851" w:right="567" w:bottom="567" w:left="1134" w:header="720" w:footer="720" w:gutter="0"/>
      <w:pgNumType w:start="9"/>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1D70D1" w14:textId="77777777" w:rsidR="009C4B3D" w:rsidRDefault="009C4B3D">
      <w:r>
        <w:separator/>
      </w:r>
    </w:p>
  </w:endnote>
  <w:endnote w:type="continuationSeparator" w:id="0">
    <w:p w14:paraId="5E27891D" w14:textId="77777777" w:rsidR="009C4B3D" w:rsidRDefault="009C4B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Agg_Times1">
    <w:altName w:val="Times New Roman"/>
    <w:charset w:val="00"/>
    <w:family w:val="auto"/>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arnock Pro">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Liberation Sans">
    <w:altName w:val="Arial"/>
    <w:charset w:val="01"/>
    <w:family w:val="roman"/>
    <w:pitch w:val="variable"/>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charset w:val="00"/>
    <w:family w:val="auto"/>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Helvetica Neue">
    <w:altName w:val="Times New Roman"/>
    <w:charset w:val="00"/>
    <w:family w:val="auto"/>
    <w:pitch w:val="default"/>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1096757166"/>
      <w:docPartObj>
        <w:docPartGallery w:val="Page Numbers (Bottom of Page)"/>
        <w:docPartUnique/>
      </w:docPartObj>
    </w:sdtPr>
    <w:sdtEndPr>
      <w:rPr>
        <w:rFonts w:ascii="GHEA Grapalat" w:hAnsi="GHEA Grapalat"/>
        <w:noProof/>
        <w:sz w:val="22"/>
        <w:szCs w:val="22"/>
      </w:rPr>
    </w:sdtEndPr>
    <w:sdtContent>
      <w:p w14:paraId="3FA1F1B1" w14:textId="74977B6A" w:rsidR="001A5DF8" w:rsidRPr="00E00C0B" w:rsidRDefault="001A5DF8" w:rsidP="00E00C0B">
        <w:pPr>
          <w:pStyle w:val="Footer"/>
          <w:spacing w:line="276" w:lineRule="auto"/>
          <w:jc w:val="right"/>
          <w:rPr>
            <w:rFonts w:ascii="GHEA Grapalat" w:hAnsi="GHEA Grapalat"/>
            <w:sz w:val="22"/>
            <w:szCs w:val="22"/>
          </w:rPr>
        </w:pPr>
        <w:r w:rsidRPr="00E00C0B">
          <w:rPr>
            <w:rFonts w:ascii="GHEA Grapalat" w:hAnsi="GHEA Grapalat"/>
            <w:noProof w:val="0"/>
            <w:sz w:val="22"/>
            <w:szCs w:val="22"/>
          </w:rPr>
          <w:fldChar w:fldCharType="begin"/>
        </w:r>
        <w:r w:rsidRPr="00E00C0B">
          <w:rPr>
            <w:rFonts w:ascii="GHEA Grapalat" w:hAnsi="GHEA Grapalat"/>
            <w:sz w:val="22"/>
            <w:szCs w:val="22"/>
          </w:rPr>
          <w:instrText xml:space="preserve"> PAGE   \* MERGEFORMAT </w:instrText>
        </w:r>
        <w:r w:rsidRPr="00E00C0B">
          <w:rPr>
            <w:rFonts w:ascii="GHEA Grapalat" w:hAnsi="GHEA Grapalat"/>
            <w:noProof w:val="0"/>
            <w:sz w:val="22"/>
            <w:szCs w:val="22"/>
          </w:rPr>
          <w:fldChar w:fldCharType="separate"/>
        </w:r>
        <w:r w:rsidR="00B25B52">
          <w:rPr>
            <w:rFonts w:ascii="GHEA Grapalat" w:hAnsi="GHEA Grapalat"/>
            <w:sz w:val="22"/>
            <w:szCs w:val="22"/>
          </w:rPr>
          <w:t>27</w:t>
        </w:r>
        <w:r w:rsidRPr="00E00C0B">
          <w:rPr>
            <w:rFonts w:ascii="GHEA Grapalat" w:hAnsi="GHEA Grapalat"/>
            <w:sz w:val="22"/>
            <w:szCs w:val="22"/>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5977D1" w14:textId="77777777" w:rsidR="009C4B3D" w:rsidRDefault="009C4B3D">
      <w:r>
        <w:separator/>
      </w:r>
    </w:p>
  </w:footnote>
  <w:footnote w:type="continuationSeparator" w:id="0">
    <w:p w14:paraId="6338DB53" w14:textId="77777777" w:rsidR="009C4B3D" w:rsidRDefault="009C4B3D">
      <w:r>
        <w:continuationSeparator/>
      </w:r>
    </w:p>
  </w:footnote>
  <w:footnote w:id="1">
    <w:p w14:paraId="6807BB35" w14:textId="77777777" w:rsidR="00F9235A" w:rsidRPr="004B2084" w:rsidRDefault="00F9235A" w:rsidP="00F9235A">
      <w:pPr>
        <w:pStyle w:val="FootnoteText"/>
        <w:jc w:val="both"/>
        <w:rPr>
          <w:rFonts w:ascii="GHEA Grapalat" w:hAnsi="GHEA Grapalat"/>
          <w:sz w:val="18"/>
          <w:szCs w:val="18"/>
        </w:rPr>
      </w:pPr>
      <w:r w:rsidRPr="004B2084">
        <w:rPr>
          <w:rStyle w:val="FootnoteReference"/>
          <w:rFonts w:ascii="GHEA Grapalat" w:hAnsi="GHEA Grapalat"/>
          <w:sz w:val="18"/>
          <w:szCs w:val="18"/>
        </w:rPr>
        <w:footnoteRef/>
      </w:r>
      <w:r w:rsidRPr="004B2084">
        <w:rPr>
          <w:rFonts w:ascii="GHEA Grapalat" w:hAnsi="GHEA Grapalat"/>
          <w:sz w:val="18"/>
          <w:szCs w:val="18"/>
        </w:rPr>
        <w:t xml:space="preserve"> Աղբյուրը՝ Տնտեսական վերլուծությունների բյուրո, </w:t>
      </w:r>
      <w:hyperlink r:id="rId1" w:history="1">
        <w:r w:rsidRPr="004B2084">
          <w:rPr>
            <w:rStyle w:val="Hyperlink"/>
            <w:rFonts w:ascii="GHEA Grapalat" w:hAnsi="GHEA Grapalat"/>
            <w:sz w:val="18"/>
            <w:szCs w:val="18"/>
          </w:rPr>
          <w:t>https://www.bea.gov/</w:t>
        </w:r>
      </w:hyperlink>
      <w:r w:rsidRPr="004B2084">
        <w:rPr>
          <w:rFonts w:ascii="GHEA Grapalat" w:hAnsi="GHEA Grapalat"/>
          <w:sz w:val="18"/>
          <w:szCs w:val="18"/>
        </w:rPr>
        <w:t xml:space="preserve"> </w:t>
      </w:r>
    </w:p>
  </w:footnote>
  <w:footnote w:id="2">
    <w:p w14:paraId="0BA5BF31" w14:textId="77777777" w:rsidR="00F9235A" w:rsidRPr="004B2084" w:rsidRDefault="00F9235A" w:rsidP="00F9235A">
      <w:pPr>
        <w:pStyle w:val="FootnoteText"/>
        <w:jc w:val="both"/>
        <w:rPr>
          <w:rFonts w:ascii="GHEA Grapalat" w:hAnsi="GHEA Grapalat"/>
          <w:sz w:val="18"/>
          <w:szCs w:val="18"/>
        </w:rPr>
      </w:pPr>
      <w:r w:rsidRPr="004B2084">
        <w:rPr>
          <w:rStyle w:val="FootnoteReference"/>
          <w:rFonts w:ascii="GHEA Grapalat" w:hAnsi="GHEA Grapalat"/>
          <w:sz w:val="18"/>
          <w:szCs w:val="18"/>
        </w:rPr>
        <w:footnoteRef/>
      </w:r>
      <w:r w:rsidRPr="004B2084">
        <w:rPr>
          <w:rFonts w:ascii="GHEA Grapalat" w:hAnsi="GHEA Grapalat"/>
          <w:sz w:val="18"/>
          <w:szCs w:val="18"/>
        </w:rPr>
        <w:t xml:space="preserve"> Աղբյուրը՝ Եվրոստատ, </w:t>
      </w:r>
      <w:hyperlink r:id="rId2" w:history="1">
        <w:r w:rsidRPr="004B2084">
          <w:rPr>
            <w:rStyle w:val="Hyperlink"/>
            <w:rFonts w:ascii="GHEA Grapalat" w:hAnsi="GHEA Grapalat"/>
            <w:sz w:val="18"/>
            <w:szCs w:val="18"/>
          </w:rPr>
          <w:t>https://ec.europa.eu/eurostat/</w:t>
        </w:r>
      </w:hyperlink>
      <w:r w:rsidRPr="004B2084">
        <w:rPr>
          <w:rFonts w:ascii="GHEA Grapalat" w:hAnsi="GHEA Grapalat"/>
          <w:sz w:val="18"/>
          <w:szCs w:val="18"/>
        </w:rPr>
        <w:t xml:space="preserve"> </w:t>
      </w:r>
    </w:p>
  </w:footnote>
  <w:footnote w:id="3">
    <w:p w14:paraId="70A47398" w14:textId="1189FABB" w:rsidR="00F9235A" w:rsidRPr="00217DFF" w:rsidRDefault="00F9235A" w:rsidP="00F9235A">
      <w:pPr>
        <w:pStyle w:val="FootnoteText"/>
        <w:rPr>
          <w:rStyle w:val="Hyperlink"/>
          <w:rFonts w:ascii="GHEA Grapalat" w:hAnsi="GHEA Grapalat"/>
          <w:sz w:val="18"/>
          <w:szCs w:val="18"/>
          <w:lang w:val="en-US"/>
        </w:rPr>
      </w:pPr>
      <w:r w:rsidRPr="00217DFF">
        <w:rPr>
          <w:rStyle w:val="FootnoteReference"/>
          <w:rFonts w:ascii="GHEA Grapalat" w:hAnsi="GHEA Grapalat"/>
          <w:sz w:val="18"/>
          <w:szCs w:val="18"/>
        </w:rPr>
        <w:footnoteRef/>
      </w:r>
      <w:r w:rsidRPr="00217DFF">
        <w:rPr>
          <w:rFonts w:ascii="GHEA Grapalat" w:hAnsi="GHEA Grapalat"/>
          <w:sz w:val="18"/>
          <w:szCs w:val="18"/>
        </w:rPr>
        <w:t xml:space="preserve"> Աղբյուրը՝ ՌԴ տնտեսական զարգացման նախարարություն, </w:t>
      </w:r>
      <w:hyperlink r:id="rId3" w:history="1">
        <w:r w:rsidRPr="00217DFF">
          <w:rPr>
            <w:rStyle w:val="Hyperlink"/>
            <w:rFonts w:ascii="GHEA Grapalat" w:hAnsi="GHEA Grapalat"/>
            <w:sz w:val="18"/>
            <w:szCs w:val="18"/>
          </w:rPr>
          <w:t>https://economy.gov.ru/b</w:t>
        </w:r>
      </w:hyperlink>
      <w:r w:rsidR="00F15698" w:rsidRPr="00217DFF">
        <w:rPr>
          <w:rStyle w:val="Hyperlink"/>
          <w:rFonts w:ascii="GHEA Grapalat" w:hAnsi="GHEA Grapalat"/>
          <w:sz w:val="18"/>
          <w:szCs w:val="18"/>
        </w:rPr>
        <w:t xml:space="preserve"> </w:t>
      </w:r>
    </w:p>
    <w:p w14:paraId="6FF38248" w14:textId="726F451B" w:rsidR="00F9235A" w:rsidRPr="00217DFF" w:rsidRDefault="00F15698" w:rsidP="00217DFF">
      <w:pPr>
        <w:pStyle w:val="FootnoteText"/>
        <w:jc w:val="both"/>
        <w:rPr>
          <w:rFonts w:ascii="GHEA Grapalat" w:hAnsi="GHEA Grapalat"/>
          <w:sz w:val="18"/>
          <w:szCs w:val="18"/>
        </w:rPr>
      </w:pPr>
      <w:r w:rsidRPr="00217DFF">
        <w:rPr>
          <w:rFonts w:ascii="GHEA Grapalat" w:hAnsi="GHEA Grapalat"/>
          <w:sz w:val="18"/>
          <w:szCs w:val="18"/>
        </w:rPr>
        <w:t xml:space="preserve"> </w:t>
      </w:r>
      <w:r w:rsidR="00F9235A" w:rsidRPr="00217DFF">
        <w:rPr>
          <w:rFonts w:ascii="GHEA Grapalat" w:hAnsi="GHEA Grapalat"/>
          <w:sz w:val="18"/>
          <w:szCs w:val="18"/>
        </w:rPr>
        <w:t xml:space="preserve">երկրորդ եռամսյակի ցուցանիշը գնահատական է </w:t>
      </w:r>
    </w:p>
  </w:footnote>
  <w:footnote w:id="4">
    <w:p w14:paraId="6BD9EBEE" w14:textId="77777777" w:rsidR="00F9235A" w:rsidRPr="00217DFF" w:rsidRDefault="00F9235A" w:rsidP="00F9235A">
      <w:pPr>
        <w:pStyle w:val="FootnoteText"/>
        <w:jc w:val="both"/>
        <w:rPr>
          <w:rFonts w:ascii="GHEA Grapalat" w:hAnsi="GHEA Grapalat"/>
          <w:sz w:val="18"/>
          <w:szCs w:val="18"/>
        </w:rPr>
      </w:pPr>
      <w:r w:rsidRPr="00217DFF">
        <w:rPr>
          <w:rStyle w:val="FootnoteReference"/>
          <w:rFonts w:ascii="GHEA Grapalat" w:hAnsi="GHEA Grapalat"/>
          <w:sz w:val="18"/>
          <w:szCs w:val="18"/>
        </w:rPr>
        <w:footnoteRef/>
      </w:r>
      <w:r w:rsidRPr="00217DFF">
        <w:rPr>
          <w:rFonts w:ascii="GHEA Grapalat" w:hAnsi="GHEA Grapalat"/>
          <w:sz w:val="18"/>
          <w:szCs w:val="18"/>
        </w:rPr>
        <w:t xml:space="preserve"> ԱՄՆ համար դիտարկվել է դաշնային ֆոնդերի արդյունավետ տոկոսադրույքը, ԵԳ՝ հիմնական վերաֆինանսավորման տոկոսադրույքը, Չինաստան՝ վարկավորման մեկ տարվա տոկոսադրույքը (</w:t>
      </w:r>
      <w:r w:rsidRPr="00217DFF">
        <w:rPr>
          <w:rFonts w:ascii="GHEA Grapalat" w:hAnsi="GHEA Grapalat" w:cs="Arial"/>
          <w:color w:val="000000"/>
          <w:sz w:val="18"/>
          <w:szCs w:val="18"/>
          <w:shd w:val="clear" w:color="auto" w:fill="FFFFFF"/>
        </w:rPr>
        <w:t>one-year loan prime rate</w:t>
      </w:r>
      <w:r w:rsidRPr="00217DFF">
        <w:rPr>
          <w:rFonts w:ascii="GHEA Grapalat" w:hAnsi="GHEA Grapalat"/>
          <w:sz w:val="18"/>
          <w:szCs w:val="18"/>
        </w:rPr>
        <w:t>), ՌԴ՝ հիմնական տոկոսադրույքը:</w:t>
      </w:r>
    </w:p>
  </w:footnote>
  <w:footnote w:id="5">
    <w:p w14:paraId="223CF955" w14:textId="77777777" w:rsidR="00F9235A" w:rsidRPr="00EE1601" w:rsidRDefault="00F9235A" w:rsidP="00F9235A">
      <w:pPr>
        <w:pStyle w:val="FootnoteText"/>
        <w:jc w:val="both"/>
        <w:rPr>
          <w:rFonts w:ascii="GHEA Grapalat" w:hAnsi="GHEA Grapalat"/>
          <w:sz w:val="18"/>
          <w:szCs w:val="18"/>
        </w:rPr>
      </w:pPr>
      <w:r w:rsidRPr="00EE1601">
        <w:rPr>
          <w:rStyle w:val="FootnoteReference"/>
          <w:rFonts w:ascii="GHEA Grapalat" w:hAnsi="GHEA Grapalat"/>
          <w:sz w:val="18"/>
          <w:szCs w:val="18"/>
        </w:rPr>
        <w:footnoteRef/>
      </w:r>
      <w:r w:rsidRPr="00EE1601">
        <w:rPr>
          <w:rFonts w:ascii="GHEA Grapalat" w:hAnsi="GHEA Grapalat"/>
          <w:sz w:val="18"/>
          <w:szCs w:val="18"/>
        </w:rPr>
        <w:t xml:space="preserve"> Աղբյուրը՝ Համաշխարհային բանկ, </w:t>
      </w:r>
      <w:hyperlink r:id="rId4" w:history="1">
        <w:r w:rsidRPr="00EE1601">
          <w:rPr>
            <w:rStyle w:val="Hyperlink"/>
            <w:rFonts w:ascii="GHEA Grapalat" w:hAnsi="GHEA Grapalat"/>
            <w:sz w:val="18"/>
            <w:szCs w:val="18"/>
          </w:rPr>
          <w:t>https://www.worldbank.org/en/research/commodity-markets</w:t>
        </w:r>
      </w:hyperlink>
      <w:r w:rsidRPr="00EE1601">
        <w:rPr>
          <w:rFonts w:ascii="GHEA Grapalat" w:hAnsi="GHEA Grapalat"/>
          <w:sz w:val="18"/>
          <w:szCs w:val="18"/>
        </w:rPr>
        <w:t xml:space="preserve"> </w:t>
      </w:r>
    </w:p>
  </w:footnote>
  <w:footnote w:id="6">
    <w:p w14:paraId="1835ECB3" w14:textId="77777777" w:rsidR="00F9235A" w:rsidRPr="00183ABE" w:rsidRDefault="00F9235A" w:rsidP="00F9235A">
      <w:pPr>
        <w:pStyle w:val="FootnoteText"/>
        <w:rPr>
          <w:rFonts w:ascii="GHEA Grapalat" w:hAnsi="GHEA Grapalat"/>
          <w:sz w:val="18"/>
          <w:szCs w:val="18"/>
        </w:rPr>
      </w:pPr>
      <w:r w:rsidRPr="00183ABE">
        <w:rPr>
          <w:rStyle w:val="FootnoteReference"/>
          <w:rFonts w:ascii="GHEA Grapalat" w:hAnsi="GHEA Grapalat"/>
          <w:sz w:val="18"/>
          <w:szCs w:val="18"/>
        </w:rPr>
        <w:footnoteRef/>
      </w:r>
      <w:r w:rsidRPr="00183ABE">
        <w:rPr>
          <w:rFonts w:ascii="GHEA Grapalat" w:hAnsi="GHEA Grapalat"/>
          <w:sz w:val="18"/>
          <w:szCs w:val="18"/>
        </w:rPr>
        <w:t xml:space="preserve"> Աղբյուրը՝ ՄԱԿ-ի պարենի և գյուղատնտեսության կազմակերպություն </w:t>
      </w:r>
      <w:hyperlink r:id="rId5" w:history="1">
        <w:r w:rsidRPr="00183ABE">
          <w:rPr>
            <w:rStyle w:val="Hyperlink"/>
            <w:rFonts w:ascii="GHEA Grapalat" w:hAnsi="GHEA Grapalat"/>
            <w:sz w:val="18"/>
            <w:szCs w:val="18"/>
          </w:rPr>
          <w:t>https://www.fao.org/worldfoodsituation/foodpricesindex/en/</w:t>
        </w:r>
      </w:hyperlink>
      <w:r w:rsidRPr="00183ABE">
        <w:rPr>
          <w:rFonts w:ascii="GHEA Grapalat" w:hAnsi="GHEA Grapalat"/>
          <w:sz w:val="18"/>
          <w:szCs w:val="18"/>
        </w:rPr>
        <w:t xml:space="preserve"> </w:t>
      </w:r>
    </w:p>
  </w:footnote>
  <w:footnote w:id="7">
    <w:p w14:paraId="67C6590E" w14:textId="77777777" w:rsidR="00F9235A" w:rsidRPr="00183ABE" w:rsidRDefault="00F9235A" w:rsidP="00F9235A">
      <w:pPr>
        <w:pStyle w:val="FootnoteText"/>
        <w:rPr>
          <w:rFonts w:ascii="GHEA Grapalat" w:hAnsi="GHEA Grapalat"/>
          <w:sz w:val="18"/>
          <w:szCs w:val="18"/>
        </w:rPr>
      </w:pPr>
      <w:r w:rsidRPr="00183ABE">
        <w:rPr>
          <w:rStyle w:val="FootnoteReference"/>
          <w:rFonts w:ascii="GHEA Grapalat" w:hAnsi="GHEA Grapalat"/>
          <w:sz w:val="18"/>
          <w:szCs w:val="18"/>
        </w:rPr>
        <w:footnoteRef/>
      </w:r>
      <w:r w:rsidRPr="00183ABE">
        <w:rPr>
          <w:rFonts w:ascii="GHEA Grapalat" w:hAnsi="GHEA Grapalat"/>
          <w:sz w:val="18"/>
          <w:szCs w:val="18"/>
        </w:rPr>
        <w:t xml:space="preserve"> Աղբյուրը՝ Համաշխարհային բանկ, </w:t>
      </w:r>
      <w:hyperlink r:id="rId6" w:history="1">
        <w:r w:rsidRPr="00183ABE">
          <w:rPr>
            <w:rStyle w:val="Hyperlink"/>
            <w:rFonts w:ascii="GHEA Grapalat" w:hAnsi="GHEA Grapalat"/>
            <w:sz w:val="18"/>
            <w:szCs w:val="18"/>
          </w:rPr>
          <w:t>https://www.worldbank.org/en/research/commodity-markets</w:t>
        </w:r>
      </w:hyperlink>
      <w:r w:rsidRPr="00183ABE">
        <w:rPr>
          <w:rFonts w:ascii="GHEA Grapalat" w:hAnsi="GHEA Grapalat"/>
          <w:sz w:val="18"/>
          <w:szCs w:val="18"/>
        </w:rPr>
        <w:t xml:space="preserve"> </w:t>
      </w:r>
    </w:p>
    <w:p w14:paraId="3F53599C" w14:textId="1A77B776" w:rsidR="00F9235A" w:rsidRPr="00183ABE" w:rsidRDefault="00F9235A" w:rsidP="00F9235A">
      <w:pPr>
        <w:pStyle w:val="FootnoteText"/>
        <w:rPr>
          <w:rFonts w:ascii="GHEA Grapalat" w:hAnsi="GHEA Grapalat"/>
          <w:sz w:val="18"/>
          <w:szCs w:val="18"/>
        </w:rPr>
      </w:pPr>
      <w:r w:rsidRPr="00183ABE">
        <w:rPr>
          <w:rFonts w:ascii="GHEA Grapalat" w:hAnsi="GHEA Grapalat"/>
          <w:sz w:val="18"/>
          <w:szCs w:val="18"/>
        </w:rPr>
        <w:t>ՄԱԿ</w:t>
      </w:r>
      <w:r w:rsidR="00FE6996">
        <w:rPr>
          <w:rFonts w:ascii="GHEA Grapalat" w:hAnsi="GHEA Grapalat"/>
          <w:sz w:val="18"/>
          <w:szCs w:val="18"/>
          <w:lang w:val="en-US"/>
        </w:rPr>
        <w:t>-</w:t>
      </w:r>
      <w:r w:rsidRPr="00183ABE">
        <w:rPr>
          <w:rFonts w:ascii="GHEA Grapalat" w:hAnsi="GHEA Grapalat"/>
          <w:sz w:val="18"/>
          <w:szCs w:val="18"/>
        </w:rPr>
        <w:t xml:space="preserve">ի պարենի և գյուղատնտեսության կազմակերպություն </w:t>
      </w:r>
      <w:hyperlink r:id="rId7" w:history="1">
        <w:r w:rsidRPr="00183ABE">
          <w:rPr>
            <w:rStyle w:val="Hyperlink"/>
            <w:rFonts w:ascii="GHEA Grapalat" w:hAnsi="GHEA Grapalat"/>
            <w:sz w:val="18"/>
            <w:szCs w:val="18"/>
          </w:rPr>
          <w:t>https://www.fao.org/worldfoodsituation/foodpricesindex/en/</w:t>
        </w:r>
      </w:hyperlink>
    </w:p>
  </w:footnote>
  <w:footnote w:id="8">
    <w:p w14:paraId="6B85B45E" w14:textId="40C97FE4" w:rsidR="00E76988" w:rsidRPr="00EB44DA" w:rsidRDefault="00E76988" w:rsidP="00E76988">
      <w:pPr>
        <w:pStyle w:val="FootnoteText"/>
        <w:jc w:val="both"/>
        <w:rPr>
          <w:rFonts w:ascii="GHEA Grapalat" w:hAnsi="GHEA Grapalat"/>
          <w:sz w:val="18"/>
          <w:szCs w:val="18"/>
        </w:rPr>
      </w:pPr>
      <w:r w:rsidRPr="001A73C7">
        <w:rPr>
          <w:rStyle w:val="FootnoteReference"/>
          <w:rFonts w:ascii="GHEA Grapalat" w:hAnsi="GHEA Grapalat"/>
          <w:sz w:val="18"/>
          <w:szCs w:val="18"/>
        </w:rPr>
        <w:footnoteRef/>
      </w:r>
      <w:r w:rsidRPr="001A73C7">
        <w:rPr>
          <w:rFonts w:ascii="GHEA Grapalat" w:hAnsi="GHEA Grapalat"/>
          <w:sz w:val="18"/>
          <w:szCs w:val="18"/>
        </w:rPr>
        <w:t>Ճյուղերի մանրամասն ցուցանիշները ներկայացված են հետևյալ տեղեկանքում՝</w:t>
      </w:r>
      <w:r w:rsidR="00B25B52">
        <w:rPr>
          <w:rFonts w:ascii="GHEA Grapalat" w:hAnsi="GHEA Grapalat"/>
          <w:sz w:val="18"/>
          <w:szCs w:val="18"/>
          <w:lang w:val="en-US"/>
        </w:rPr>
        <w:t xml:space="preserve"> </w:t>
      </w:r>
      <w:hyperlink r:id="rId8" w:history="1">
        <w:r w:rsidR="00B25B52" w:rsidRPr="00B25B52">
          <w:rPr>
            <w:rStyle w:val="Hyperlink"/>
            <w:rFonts w:ascii="GHEA Grapalat" w:hAnsi="GHEA Grapalat"/>
            <w:sz w:val="18"/>
            <w:szCs w:val="18"/>
            <w:lang w:val="en-US"/>
          </w:rPr>
          <w:t>1.10.Տեղեկանքներ\5.Թողարկման ծավալ, արտահանում, ներմուծում_2026 I կիս</w:t>
        </w:r>
        <w:r w:rsidR="00B25B52" w:rsidRPr="00B25B52">
          <w:rPr>
            <w:rStyle w:val="Hyperlink"/>
            <w:rFonts w:ascii="GHEA Grapalat" w:hAnsi="GHEA Grapalat"/>
            <w:sz w:val="18"/>
            <w:szCs w:val="18"/>
            <w:lang w:val="en-US"/>
          </w:rPr>
          <w:t>.</w:t>
        </w:r>
        <w:r w:rsidR="00B25B52" w:rsidRPr="00B25B52">
          <w:rPr>
            <w:rStyle w:val="Hyperlink"/>
            <w:rFonts w:ascii="GHEA Grapalat" w:hAnsi="GHEA Grapalat"/>
            <w:sz w:val="18"/>
            <w:szCs w:val="18"/>
            <w:lang w:val="en-US"/>
          </w:rPr>
          <w:t>.docx</w:t>
        </w:r>
      </w:hyperlink>
      <w:r w:rsidRPr="001A73C7">
        <w:rPr>
          <w:rFonts w:ascii="GHEA Grapalat" w:hAnsi="GHEA Grapalat"/>
          <w:sz w:val="18"/>
          <w:szCs w:val="18"/>
        </w:rPr>
        <w:t>:</w:t>
      </w:r>
    </w:p>
  </w:footnote>
  <w:footnote w:id="9">
    <w:p w14:paraId="03657496" w14:textId="77777777" w:rsidR="00E76988" w:rsidRPr="00347ED2" w:rsidRDefault="00E76988" w:rsidP="00E76988">
      <w:pPr>
        <w:pStyle w:val="FootnoteText"/>
        <w:jc w:val="both"/>
        <w:rPr>
          <w:rFonts w:ascii="GHEA Grapalat" w:hAnsi="GHEA Grapalat"/>
          <w:sz w:val="18"/>
          <w:szCs w:val="18"/>
        </w:rPr>
      </w:pPr>
      <w:r w:rsidRPr="00347ED2">
        <w:rPr>
          <w:rStyle w:val="FootnoteReference"/>
          <w:rFonts w:ascii="GHEA Grapalat" w:hAnsi="GHEA Grapalat"/>
          <w:sz w:val="18"/>
          <w:szCs w:val="18"/>
        </w:rPr>
        <w:footnoteRef/>
      </w:r>
      <w:r w:rsidRPr="00347ED2">
        <w:rPr>
          <w:rFonts w:ascii="GHEA Grapalat" w:hAnsi="GHEA Grapalat"/>
          <w:sz w:val="18"/>
          <w:szCs w:val="18"/>
        </w:rPr>
        <w:t>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w:t>
      </w:r>
    </w:p>
  </w:footnote>
  <w:footnote w:id="10">
    <w:p w14:paraId="66364A79" w14:textId="77777777" w:rsidR="00E76988" w:rsidRPr="00347ED2" w:rsidRDefault="00E76988" w:rsidP="00E76988">
      <w:pPr>
        <w:pStyle w:val="FootnoteText"/>
        <w:jc w:val="both"/>
        <w:rPr>
          <w:rFonts w:ascii="GHEA Grapalat" w:hAnsi="GHEA Grapalat"/>
          <w:sz w:val="18"/>
          <w:szCs w:val="18"/>
        </w:rPr>
      </w:pPr>
      <w:r w:rsidRPr="00347ED2">
        <w:rPr>
          <w:rStyle w:val="FootnoteReference"/>
          <w:rFonts w:ascii="GHEA Grapalat" w:hAnsi="GHEA Grapalat"/>
          <w:sz w:val="18"/>
          <w:szCs w:val="18"/>
        </w:rPr>
        <w:footnoteRef/>
      </w:r>
      <w:r w:rsidRPr="00347ED2">
        <w:rPr>
          <w:rFonts w:ascii="GHEA Grapalat" w:eastAsia="GHEA Grapalat" w:hAnsi="GHEA Grapalat" w:cs="GHEA Grapalat"/>
          <w:color w:val="000000"/>
          <w:sz w:val="18"/>
          <w:szCs w:val="18"/>
        </w:rPr>
        <w:t>Համախառն պահանջարկի ցուցանիշները ՀՀ ֆինանսների նախարարության գնահատականներն են:</w:t>
      </w:r>
    </w:p>
  </w:footnote>
  <w:footnote w:id="11">
    <w:p w14:paraId="4BD3F5B3" w14:textId="77777777" w:rsidR="00E76988" w:rsidRPr="00347ED2" w:rsidRDefault="00E76988" w:rsidP="00E76988">
      <w:pPr>
        <w:jc w:val="both"/>
        <w:rPr>
          <w:rFonts w:ascii="GHEA Grapalat" w:eastAsia="GHEA Grapalat" w:hAnsi="GHEA Grapalat" w:cs="GHEA Grapalat"/>
          <w:color w:val="000000"/>
          <w:sz w:val="18"/>
          <w:szCs w:val="18"/>
        </w:rPr>
      </w:pPr>
      <w:r w:rsidRPr="00347ED2">
        <w:rPr>
          <w:rStyle w:val="FootnoteReference"/>
          <w:rFonts w:ascii="GHEA Grapalat" w:hAnsi="GHEA Grapalat"/>
          <w:sz w:val="18"/>
          <w:szCs w:val="18"/>
        </w:rPr>
        <w:footnoteRef/>
      </w:r>
      <w:r w:rsidRPr="00347ED2">
        <w:rPr>
          <w:rFonts w:ascii="GHEA Grapalat" w:eastAsia="GHEA Grapalat" w:hAnsi="GHEA Grapalat"/>
          <w:color w:val="000000"/>
          <w:sz w:val="18"/>
          <w:szCs w:val="18"/>
        </w:rPr>
        <w:t>Այստեղ ներկայացված են հիմնական միջոցներում ներդրումները՝ հաշվի առնելով, որ 2019թ</w:t>
      </w:r>
      <w:r w:rsidRPr="00347ED2">
        <w:rPr>
          <w:rFonts w:ascii="Cambria Math" w:eastAsia="GHEA Grapalat" w:hAnsi="Cambria Math"/>
          <w:color w:val="000000"/>
          <w:sz w:val="18"/>
          <w:szCs w:val="18"/>
        </w:rPr>
        <w:t>․-</w:t>
      </w:r>
      <w:r w:rsidRPr="00347ED2">
        <w:rPr>
          <w:rFonts w:ascii="GHEA Grapalat" w:eastAsia="GHEA Grapalat" w:hAnsi="GHEA Grapalat"/>
          <w:color w:val="000000"/>
          <w:sz w:val="18"/>
          <w:szCs w:val="18"/>
        </w:rPr>
        <w:t>ից ՀՀ ՎԿ-ի կողմից համախառն կուտակման մեջ հաշվառվող պաշարների փոփոխության մեջ ներառվում են նաև վիճակագրական շեղումները:</w:t>
      </w:r>
    </w:p>
  </w:footnote>
  <w:footnote w:id="12">
    <w:p w14:paraId="1D85A387" w14:textId="77777777" w:rsidR="00E76988" w:rsidRPr="008A1F1E" w:rsidRDefault="00E76988" w:rsidP="00E76988">
      <w:pPr>
        <w:jc w:val="both"/>
        <w:rPr>
          <w:rFonts w:ascii="GHEA Grapalat" w:eastAsia="GHEA Grapalat" w:hAnsi="GHEA Grapalat"/>
          <w:color w:val="000000"/>
          <w:sz w:val="18"/>
          <w:szCs w:val="18"/>
        </w:rPr>
      </w:pPr>
      <w:r w:rsidRPr="00347ED2">
        <w:rPr>
          <w:rFonts w:ascii="GHEA Grapalat" w:eastAsia="GHEA Grapalat" w:hAnsi="GHEA Grapalat"/>
          <w:color w:val="000000"/>
          <w:sz w:val="18"/>
          <w:szCs w:val="18"/>
          <w:vertAlign w:val="superscript"/>
        </w:rPr>
        <w:footnoteRef/>
      </w:r>
      <w:r w:rsidRPr="00347ED2">
        <w:rPr>
          <w:rFonts w:ascii="GHEA Grapalat" w:eastAsia="GHEA Grapalat" w:hAnsi="GHEA Grapalat"/>
          <w:color w:val="000000"/>
          <w:sz w:val="18"/>
          <w:szCs w:val="18"/>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3">
    <w:p w14:paraId="1A031D3D" w14:textId="77777777" w:rsidR="00475130" w:rsidRPr="00D933A2" w:rsidRDefault="00475130" w:rsidP="00475130">
      <w:pPr>
        <w:pStyle w:val="FootnoteText"/>
        <w:jc w:val="both"/>
        <w:rPr>
          <w:rFonts w:ascii="GHEA Grapalat" w:eastAsia="GHEA Grapalat" w:hAnsi="GHEA Grapalat" w:cs="GHEA Grapalat"/>
          <w:iCs/>
          <w:color w:val="000000"/>
          <w:sz w:val="18"/>
          <w:szCs w:val="18"/>
        </w:rPr>
      </w:pPr>
      <w:r w:rsidRPr="00D933A2">
        <w:rPr>
          <w:rStyle w:val="FootnoteReference"/>
          <w:rFonts w:ascii="GHEA Grapalat" w:hAnsi="GHEA Grapalat"/>
          <w:sz w:val="18"/>
          <w:szCs w:val="18"/>
        </w:rPr>
        <w:footnoteRef/>
      </w:r>
      <w:r w:rsidRPr="00D933A2">
        <w:rPr>
          <w:rFonts w:ascii="GHEA Grapalat" w:hAnsi="GHEA Grapalat"/>
          <w:sz w:val="18"/>
          <w:szCs w:val="18"/>
        </w:rPr>
        <w:t xml:space="preserve"> </w:t>
      </w:r>
      <w:r w:rsidRPr="00D933A2">
        <w:rPr>
          <w:rFonts w:ascii="GHEA Grapalat" w:eastAsia="GHEA Grapalat" w:hAnsi="GHEA Grapalat" w:cs="GHEA Grapalat"/>
          <w:iCs/>
          <w:color w:val="000000"/>
          <w:sz w:val="18"/>
          <w:szCs w:val="18"/>
        </w:rPr>
        <w:t>Ներմուծման տվյալները ներկայացված են ՍԻՖ գներով:</w:t>
      </w:r>
    </w:p>
  </w:footnote>
  <w:footnote w:id="14">
    <w:p w14:paraId="04857FCF" w14:textId="065956DE" w:rsidR="00475130" w:rsidRPr="00D933A2" w:rsidRDefault="00475130" w:rsidP="00475130">
      <w:pPr>
        <w:pStyle w:val="FootnoteText"/>
        <w:jc w:val="both"/>
        <w:rPr>
          <w:rFonts w:ascii="GHEA Grapalat" w:eastAsia="GHEA Grapalat" w:hAnsi="GHEA Grapalat" w:cs="GHEA Grapalat"/>
          <w:color w:val="000000"/>
          <w:sz w:val="18"/>
          <w:szCs w:val="18"/>
        </w:rPr>
      </w:pPr>
      <w:r w:rsidRPr="00D933A2">
        <w:rPr>
          <w:rFonts w:ascii="GHEA Grapalat" w:eastAsia="GHEA Grapalat" w:hAnsi="GHEA Grapalat" w:cs="GHEA Grapalat"/>
          <w:iCs/>
          <w:color w:val="000000"/>
          <w:sz w:val="18"/>
          <w:szCs w:val="18"/>
        </w:rPr>
        <w:footnoteRef/>
      </w:r>
      <w:r w:rsidRPr="00D933A2">
        <w:rPr>
          <w:rFonts w:ascii="GHEA Grapalat" w:eastAsia="GHEA Grapalat" w:hAnsi="GHEA Grapalat" w:cs="GHEA Grapalat"/>
          <w:iCs/>
          <w:color w:val="000000"/>
          <w:sz w:val="18"/>
          <w:szCs w:val="18"/>
        </w:rPr>
        <w:t xml:space="preserve"> Աղբյուրը` ՀՀ վիճակագրական կո</w:t>
      </w:r>
      <w:r w:rsidR="005E3223" w:rsidRPr="00D933A2">
        <w:rPr>
          <w:rFonts w:ascii="GHEA Grapalat" w:eastAsia="GHEA Grapalat" w:hAnsi="GHEA Grapalat" w:cs="GHEA Grapalat"/>
          <w:iCs/>
          <w:color w:val="000000"/>
          <w:sz w:val="18"/>
          <w:szCs w:val="18"/>
          <w:lang w:val="en-US"/>
        </w:rPr>
        <w:t>մ</w:t>
      </w:r>
      <w:r w:rsidRPr="00D933A2">
        <w:rPr>
          <w:rFonts w:ascii="GHEA Grapalat" w:eastAsia="GHEA Grapalat" w:hAnsi="GHEA Grapalat" w:cs="GHEA Grapalat"/>
          <w:iCs/>
          <w:color w:val="000000"/>
          <w:sz w:val="18"/>
          <w:szCs w:val="18"/>
        </w:rPr>
        <w:t>իտե, «Հայաստանի Հանրապետության սոցիալ-տնտեսական վիճակը» ամսական զեկույցներ:</w:t>
      </w:r>
    </w:p>
  </w:footnote>
  <w:footnote w:id="15">
    <w:p w14:paraId="1084E917" w14:textId="51E0C3C2" w:rsidR="00475130" w:rsidRPr="00843035" w:rsidRDefault="00475130" w:rsidP="00475130">
      <w:pPr>
        <w:pStyle w:val="FootnoteText"/>
        <w:jc w:val="both"/>
        <w:rPr>
          <w:rFonts w:ascii="GHEA Grapalat" w:hAnsi="GHEA Grapalat"/>
          <w:iCs/>
          <w:sz w:val="18"/>
          <w:szCs w:val="18"/>
        </w:rPr>
      </w:pPr>
      <w:r w:rsidRPr="00843035">
        <w:rPr>
          <w:rStyle w:val="FootnoteReference"/>
          <w:rFonts w:ascii="GHEA Grapalat" w:hAnsi="GHEA Grapalat"/>
          <w:sz w:val="18"/>
          <w:szCs w:val="18"/>
        </w:rPr>
        <w:footnoteRef/>
      </w:r>
      <w:r w:rsidRPr="00843035">
        <w:rPr>
          <w:rFonts w:ascii="GHEA Grapalat" w:eastAsia="GHEA Grapalat" w:hAnsi="GHEA Grapalat" w:cs="GHEA Grapalat"/>
          <w:iCs/>
          <w:color w:val="000000"/>
          <w:sz w:val="18"/>
          <w:szCs w:val="18"/>
        </w:rPr>
        <w:t>Մանրամասն ցուցանիշները ներկայացված են</w:t>
      </w:r>
      <w:r w:rsidRPr="00D24FA0">
        <w:rPr>
          <w:rFonts w:ascii="GHEA Grapalat" w:eastAsia="GHEA Grapalat" w:hAnsi="GHEA Grapalat" w:cs="GHEA Grapalat"/>
          <w:iCs/>
          <w:color w:val="000000"/>
          <w:sz w:val="18"/>
          <w:szCs w:val="18"/>
        </w:rPr>
        <w:t xml:space="preserve"> հետևյալ տեղեկանքի</w:t>
      </w:r>
      <w:r w:rsidRPr="00843035">
        <w:rPr>
          <w:rFonts w:ascii="GHEA Grapalat" w:eastAsia="GHEA Grapalat" w:hAnsi="GHEA Grapalat" w:cs="GHEA Grapalat"/>
          <w:iCs/>
          <w:color w:val="000000"/>
          <w:sz w:val="18"/>
          <w:szCs w:val="18"/>
        </w:rPr>
        <w:t xml:space="preserve"> </w:t>
      </w:r>
      <w:r w:rsidRPr="00843035">
        <w:rPr>
          <w:rFonts w:ascii="GHEA Grapalat" w:hAnsi="GHEA Grapalat"/>
          <w:sz w:val="18"/>
          <w:szCs w:val="18"/>
        </w:rPr>
        <w:t>Աղյուսակ 3-ում</w:t>
      </w:r>
      <w:r w:rsidRPr="00D24FA0">
        <w:rPr>
          <w:rFonts w:ascii="GHEA Grapalat" w:hAnsi="GHEA Grapalat"/>
          <w:sz w:val="18"/>
          <w:szCs w:val="18"/>
        </w:rPr>
        <w:t>՝</w:t>
      </w:r>
      <w:r w:rsidR="00B25B52">
        <w:rPr>
          <w:rFonts w:ascii="GHEA Grapalat" w:hAnsi="GHEA Grapalat"/>
          <w:sz w:val="18"/>
          <w:szCs w:val="18"/>
          <w:lang w:val="en-US"/>
        </w:rPr>
        <w:t xml:space="preserve"> </w:t>
      </w:r>
      <w:hyperlink r:id="rId9" w:history="1">
        <w:r w:rsidR="00B25B52" w:rsidRPr="00B25B52">
          <w:rPr>
            <w:rStyle w:val="Hyperlink"/>
            <w:rFonts w:ascii="GHEA Grapalat" w:hAnsi="GHEA Grapalat"/>
            <w:sz w:val="18"/>
            <w:szCs w:val="18"/>
            <w:lang w:val="en-US"/>
          </w:rPr>
          <w:t>1.10.Տեղեկանքներ\5.Թողարկման ծավալ, արտահանում, ներմուծում_2026 I կիս..docx</w:t>
        </w:r>
      </w:hyperlink>
      <w:r w:rsidRPr="00843035">
        <w:rPr>
          <w:rFonts w:ascii="GHEA Grapalat" w:eastAsia="GHEA Grapalat" w:hAnsi="GHEA Grapalat" w:cs="GHEA Grapalat"/>
          <w:iCs/>
          <w:color w:val="000000"/>
          <w:sz w:val="18"/>
          <w:szCs w:val="18"/>
        </w:rPr>
        <w:t>:</w:t>
      </w:r>
    </w:p>
  </w:footnote>
  <w:footnote w:id="16">
    <w:p w14:paraId="11937DE4" w14:textId="77777777" w:rsidR="001A5DF8" w:rsidRPr="00DE5785" w:rsidRDefault="001A5DF8" w:rsidP="00D91493">
      <w:pPr>
        <w:pStyle w:val="FootnoteText"/>
        <w:jc w:val="both"/>
        <w:rPr>
          <w:rFonts w:ascii="GHEA Grapalat" w:hAnsi="GHEA Grapalat"/>
          <w:sz w:val="18"/>
          <w:szCs w:val="18"/>
        </w:rPr>
      </w:pPr>
      <w:r w:rsidRPr="00DE5785">
        <w:rPr>
          <w:rStyle w:val="FootnoteReference"/>
          <w:rFonts w:ascii="GHEA Grapalat" w:hAnsi="GHEA Grapalat"/>
          <w:sz w:val="18"/>
          <w:szCs w:val="18"/>
        </w:rPr>
        <w:footnoteRef/>
      </w:r>
      <w:r w:rsidRPr="00DE5785">
        <w:rPr>
          <w:rFonts w:ascii="GHEA Grapalat" w:hAnsi="GHEA Grapalat"/>
          <w:sz w:val="18"/>
          <w:szCs w:val="18"/>
        </w:rPr>
        <w:t xml:space="preserve"> </w:t>
      </w:r>
      <w:r w:rsidRPr="00DE5785">
        <w:rPr>
          <w:rFonts w:ascii="GHEA Grapalat" w:hAnsi="GHEA Grapalat" w:cs="Sylfaen"/>
          <w:sz w:val="18"/>
          <w:szCs w:val="18"/>
        </w:rPr>
        <w:t>Աղբյուր՝ ՀՀ ԿԲ:</w:t>
      </w:r>
    </w:p>
  </w:footnote>
  <w:footnote w:id="17">
    <w:p w14:paraId="122B1C4C" w14:textId="77777777" w:rsidR="00742EB9" w:rsidRPr="00DE5785" w:rsidRDefault="00742EB9" w:rsidP="00742EB9">
      <w:pPr>
        <w:pStyle w:val="FootnoteText"/>
        <w:tabs>
          <w:tab w:val="left" w:pos="142"/>
        </w:tabs>
        <w:jc w:val="both"/>
        <w:rPr>
          <w:rFonts w:ascii="GHEA Grapalat" w:hAnsi="GHEA Grapalat" w:cs="Sylfaen"/>
          <w:sz w:val="18"/>
          <w:szCs w:val="18"/>
        </w:rPr>
      </w:pPr>
      <w:r w:rsidRPr="00DE5785">
        <w:rPr>
          <w:rStyle w:val="FootnoteReference"/>
          <w:rFonts w:ascii="GHEA Grapalat" w:hAnsi="GHEA Grapalat"/>
          <w:sz w:val="18"/>
          <w:szCs w:val="18"/>
        </w:rPr>
        <w:footnoteRef/>
      </w:r>
      <w:r w:rsidRPr="00DE5785">
        <w:rPr>
          <w:rFonts w:ascii="GHEA Grapalat" w:eastAsia="GHEA Grapalat" w:hAnsi="GHEA Grapalat" w:cs="GHEA Grapalat"/>
          <w:color w:val="000000"/>
          <w:sz w:val="18"/>
          <w:szCs w:val="18"/>
        </w:rPr>
        <w:t xml:space="preserve"> Ընդգրկված չեն կուտակված տոկոսները: Վարկերի մեջ ներառված են նաև ֆակտորինգային, լիզինգային գործառնությունները և ռեպո համաձայնագրերը:</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90E69B" w14:textId="5AD22708" w:rsidR="001A5DF8" w:rsidRDefault="001A5DF8" w:rsidP="00B85255">
    <w:pPr>
      <w:pStyle w:val="Header"/>
      <w:spacing w:line="276" w:lineRule="auto"/>
      <w:jc w:val="righ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6930E93A"/>
    <w:lvl w:ilvl="0">
      <w:numFmt w:val="decimal"/>
      <w:pStyle w:val="Bullet"/>
      <w:lvlText w:val="*"/>
      <w:lvlJc w:val="left"/>
      <w:rPr>
        <w:rFonts w:cs="Times New Roman"/>
      </w:rPr>
    </w:lvl>
  </w:abstractNum>
  <w:abstractNum w:abstractNumId="1" w15:restartNumberingAfterBreak="0">
    <w:nsid w:val="032A11C3"/>
    <w:multiLevelType w:val="hybridMultilevel"/>
    <w:tmpl w:val="A8929828"/>
    <w:lvl w:ilvl="0" w:tplc="EB8871BC">
      <w:start w:val="1"/>
      <w:numFmt w:val="decimal"/>
      <w:lvlText w:val="%1."/>
      <w:lvlJc w:val="left"/>
      <w:pPr>
        <w:ind w:left="1287" w:hanging="360"/>
      </w:pPr>
      <w:rPr>
        <w:rFonts w:ascii="GHEA Grapalat" w:hAnsi="GHEA Grapalat" w:hint="default"/>
        <w:b w:val="0"/>
        <w:i w:val="0"/>
        <w:sz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15:restartNumberingAfterBreak="0">
    <w:nsid w:val="0361430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3F6FE0"/>
    <w:multiLevelType w:val="multilevel"/>
    <w:tmpl w:val="AF5CF0EE"/>
    <w:lvl w:ilvl="0">
      <w:start w:val="1"/>
      <w:numFmt w:val="bullet"/>
      <w:pStyle w:val="Bulleted"/>
      <w:lvlText w:val=""/>
      <w:lvlJc w:val="left"/>
      <w:pPr>
        <w:ind w:left="1633" w:hanging="357"/>
      </w:pPr>
      <w:rPr>
        <w:rFonts w:ascii="Symbol" w:hAnsi="Symbol" w:hint="default"/>
        <w:lang w:val="en-GB"/>
      </w:rPr>
    </w:lvl>
    <w:lvl w:ilvl="1">
      <w:start w:val="1"/>
      <w:numFmt w:val="bullet"/>
      <w:lvlText w:val="o"/>
      <w:lvlJc w:val="left"/>
      <w:pPr>
        <w:ind w:left="714" w:hanging="357"/>
      </w:pPr>
      <w:rPr>
        <w:rFonts w:ascii="Courier New" w:hAnsi="Courier New" w:cs="Times New Roman" w:hint="default"/>
      </w:rPr>
    </w:lvl>
    <w:lvl w:ilvl="2">
      <w:start w:val="1"/>
      <w:numFmt w:val="bullet"/>
      <w:lvlText w:val=""/>
      <w:lvlJc w:val="left"/>
      <w:pPr>
        <w:ind w:left="2744" w:hanging="360"/>
      </w:pPr>
      <w:rPr>
        <w:rFonts w:ascii="Wingdings" w:hAnsi="Wingdings" w:hint="default"/>
      </w:rPr>
    </w:lvl>
    <w:lvl w:ilvl="3">
      <w:start w:val="1"/>
      <w:numFmt w:val="bullet"/>
      <w:lvlText w:val=""/>
      <w:lvlJc w:val="left"/>
      <w:pPr>
        <w:ind w:left="3464" w:hanging="360"/>
      </w:pPr>
      <w:rPr>
        <w:rFonts w:ascii="Symbol" w:hAnsi="Symbol" w:hint="default"/>
      </w:rPr>
    </w:lvl>
    <w:lvl w:ilvl="4">
      <w:start w:val="1"/>
      <w:numFmt w:val="bullet"/>
      <w:lvlText w:val="o"/>
      <w:lvlJc w:val="left"/>
      <w:pPr>
        <w:ind w:left="4184" w:hanging="360"/>
      </w:pPr>
      <w:rPr>
        <w:rFonts w:ascii="Courier New" w:hAnsi="Courier New" w:cs="Courier New" w:hint="default"/>
      </w:rPr>
    </w:lvl>
    <w:lvl w:ilvl="5">
      <w:start w:val="1"/>
      <w:numFmt w:val="bullet"/>
      <w:lvlText w:val=""/>
      <w:lvlJc w:val="left"/>
      <w:pPr>
        <w:ind w:left="4904" w:hanging="360"/>
      </w:pPr>
      <w:rPr>
        <w:rFonts w:ascii="Wingdings" w:hAnsi="Wingdings" w:hint="default"/>
      </w:rPr>
    </w:lvl>
    <w:lvl w:ilvl="6">
      <w:start w:val="1"/>
      <w:numFmt w:val="bullet"/>
      <w:lvlText w:val=""/>
      <w:lvlJc w:val="left"/>
      <w:pPr>
        <w:ind w:left="5624" w:hanging="360"/>
      </w:pPr>
      <w:rPr>
        <w:rFonts w:ascii="Symbol" w:hAnsi="Symbol" w:hint="default"/>
      </w:rPr>
    </w:lvl>
    <w:lvl w:ilvl="7">
      <w:start w:val="1"/>
      <w:numFmt w:val="bullet"/>
      <w:lvlText w:val="o"/>
      <w:lvlJc w:val="left"/>
      <w:pPr>
        <w:ind w:left="6344" w:hanging="360"/>
      </w:pPr>
      <w:rPr>
        <w:rFonts w:ascii="Courier New" w:hAnsi="Courier New" w:cs="Courier New" w:hint="default"/>
      </w:rPr>
    </w:lvl>
    <w:lvl w:ilvl="8">
      <w:start w:val="1"/>
      <w:numFmt w:val="bullet"/>
      <w:lvlText w:val=""/>
      <w:lvlJc w:val="left"/>
      <w:pPr>
        <w:ind w:left="7064" w:hanging="360"/>
      </w:pPr>
      <w:rPr>
        <w:rFonts w:ascii="Wingdings" w:hAnsi="Wingdings" w:hint="default"/>
      </w:rPr>
    </w:lvl>
  </w:abstractNum>
  <w:abstractNum w:abstractNumId="4" w15:restartNumberingAfterBreak="0">
    <w:nsid w:val="134E55C0"/>
    <w:multiLevelType w:val="hybridMultilevel"/>
    <w:tmpl w:val="F63277FC"/>
    <w:lvl w:ilvl="0" w:tplc="82D6ECE0">
      <w:start w:val="1"/>
      <w:numFmt w:val="decimal"/>
      <w:lvlText w:val="Գծապատկեր %1."/>
      <w:lvlJc w:val="left"/>
      <w:pPr>
        <w:ind w:left="1170" w:hanging="360"/>
      </w:pPr>
      <w:rPr>
        <w:rFonts w:ascii="GHEA Grapalat" w:hAnsi="GHEA Grapalat" w:hint="default"/>
        <w:b/>
        <w:i/>
        <w:sz w:val="22"/>
        <w:szCs w:val="22"/>
      </w:r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5" w15:restartNumberingAfterBreak="0">
    <w:nsid w:val="141100B8"/>
    <w:multiLevelType w:val="hybridMultilevel"/>
    <w:tmpl w:val="885A45B0"/>
    <w:lvl w:ilvl="0" w:tplc="E3A024A2">
      <w:start w:val="1"/>
      <w:numFmt w:val="decimal"/>
      <w:lvlText w:val="%1."/>
      <w:lvlJc w:val="left"/>
      <w:pPr>
        <w:ind w:left="1287" w:hanging="360"/>
      </w:pPr>
      <w:rPr>
        <w:rFonts w:ascii="GHEA Grapalat" w:hAnsi="GHEA Grapalat" w:hint="default"/>
        <w:b w:val="0"/>
        <w:i w:val="0"/>
        <w:sz w:val="24"/>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6" w15:restartNumberingAfterBreak="0">
    <w:nsid w:val="1A351095"/>
    <w:multiLevelType w:val="hybridMultilevel"/>
    <w:tmpl w:val="99782C06"/>
    <w:lvl w:ilvl="0" w:tplc="6ED20892">
      <w:start w:val="4"/>
      <w:numFmt w:val="decimal"/>
      <w:lvlText w:val="Աղյուսակ %1."/>
      <w:lvlJc w:val="left"/>
      <w:pPr>
        <w:ind w:left="928" w:hanging="360"/>
      </w:pPr>
      <w:rPr>
        <w:rFonts w:ascii="GHEA Grapalat" w:hAnsi="GHEA Grapalat" w:hint="default"/>
        <w:b/>
        <w:i/>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E901B9"/>
    <w:multiLevelType w:val="hybridMultilevel"/>
    <w:tmpl w:val="532ADCA2"/>
    <w:lvl w:ilvl="0" w:tplc="CB24C524">
      <w:start w:val="1"/>
      <w:numFmt w:val="decimal"/>
      <w:lvlText w:val="Գծապատկեր %1."/>
      <w:lvlJc w:val="left"/>
      <w:pPr>
        <w:ind w:left="720" w:hanging="360"/>
      </w:pPr>
      <w:rPr>
        <w:rFonts w:ascii="GHEA Grapalat" w:hAnsi="GHEA Grapalat" w:hint="default"/>
        <w:b/>
        <w:i w:val="0"/>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CA06526"/>
    <w:multiLevelType w:val="hybridMultilevel"/>
    <w:tmpl w:val="78607392"/>
    <w:lvl w:ilvl="0" w:tplc="C53885A4">
      <w:start w:val="10"/>
      <w:numFmt w:val="decimal"/>
      <w:lvlText w:val="Գծապատկեր %1."/>
      <w:lvlJc w:val="left"/>
      <w:pPr>
        <w:ind w:left="1428" w:hanging="360"/>
      </w:pPr>
      <w:rPr>
        <w:rFonts w:ascii="GHEA Grapalat" w:hAnsi="GHEA Grapalat" w:hint="default"/>
        <w:b/>
        <w:i w:val="0"/>
        <w:sz w:val="18"/>
        <w:szCs w:val="22"/>
      </w:r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9" w15:restartNumberingAfterBreak="0">
    <w:nsid w:val="1CBA4147"/>
    <w:multiLevelType w:val="hybridMultilevel"/>
    <w:tmpl w:val="642438C4"/>
    <w:lvl w:ilvl="0" w:tplc="91281F7E">
      <w:start w:val="2020"/>
      <w:numFmt w:val="bullet"/>
      <w:lvlText w:val=""/>
      <w:lvlJc w:val="left"/>
      <w:pPr>
        <w:ind w:left="360" w:hanging="360"/>
      </w:pPr>
      <w:rPr>
        <w:rFonts w:ascii="Symbol" w:eastAsia="Calibri"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15:restartNumberingAfterBreak="0">
    <w:nsid w:val="1CEA021B"/>
    <w:multiLevelType w:val="hybridMultilevel"/>
    <w:tmpl w:val="CF2C6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D57CB1"/>
    <w:multiLevelType w:val="hybridMultilevel"/>
    <w:tmpl w:val="A6B2A0C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1EE26EA1"/>
    <w:multiLevelType w:val="hybridMultilevel"/>
    <w:tmpl w:val="F968BBD2"/>
    <w:lvl w:ilvl="0" w:tplc="04090001">
      <w:start w:val="1"/>
      <w:numFmt w:val="bullet"/>
      <w:lvlText w:val=""/>
      <w:lvlJc w:val="left"/>
      <w:pPr>
        <w:ind w:left="928" w:hanging="360"/>
      </w:pPr>
      <w:rPr>
        <w:rFonts w:ascii="Symbol" w:hAnsi="Symbol" w:hint="default"/>
        <w:b w:val="0"/>
        <w:i w:val="0"/>
        <w:sz w:val="22"/>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3" w15:restartNumberingAfterBreak="0">
    <w:nsid w:val="202B49C3"/>
    <w:multiLevelType w:val="hybridMultilevel"/>
    <w:tmpl w:val="49C8FF18"/>
    <w:lvl w:ilvl="0" w:tplc="5FDCFCF8">
      <w:start w:val="105"/>
      <w:numFmt w:val="bullet"/>
      <w:lvlText w:val="-"/>
      <w:lvlJc w:val="left"/>
      <w:pPr>
        <w:ind w:left="630" w:hanging="360"/>
      </w:pPr>
      <w:rPr>
        <w:rFonts w:ascii="GHEA Grapalat" w:eastAsia="Times New Roman" w:hAnsi="GHEA Grapalat" w:cs="Calibri" w:hint="default"/>
      </w:rPr>
    </w:lvl>
    <w:lvl w:ilvl="1" w:tplc="04090003">
      <w:start w:val="1"/>
      <w:numFmt w:val="bullet"/>
      <w:lvlText w:val="o"/>
      <w:lvlJc w:val="left"/>
      <w:pPr>
        <w:ind w:left="1350" w:hanging="360"/>
      </w:pPr>
      <w:rPr>
        <w:rFonts w:ascii="Courier New" w:hAnsi="Courier New" w:cs="Courier New" w:hint="default"/>
      </w:rPr>
    </w:lvl>
    <w:lvl w:ilvl="2" w:tplc="04090005">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start w:val="1"/>
      <w:numFmt w:val="bullet"/>
      <w:lvlText w:val="o"/>
      <w:lvlJc w:val="left"/>
      <w:pPr>
        <w:ind w:left="3510" w:hanging="360"/>
      </w:pPr>
      <w:rPr>
        <w:rFonts w:ascii="Courier New" w:hAnsi="Courier New" w:cs="Courier New" w:hint="default"/>
      </w:rPr>
    </w:lvl>
    <w:lvl w:ilvl="5" w:tplc="04090005">
      <w:start w:val="1"/>
      <w:numFmt w:val="bullet"/>
      <w:lvlText w:val=""/>
      <w:lvlJc w:val="left"/>
      <w:pPr>
        <w:ind w:left="4230" w:hanging="360"/>
      </w:pPr>
      <w:rPr>
        <w:rFonts w:ascii="Wingdings" w:hAnsi="Wingdings" w:hint="default"/>
      </w:rPr>
    </w:lvl>
    <w:lvl w:ilvl="6" w:tplc="04090001">
      <w:start w:val="1"/>
      <w:numFmt w:val="bullet"/>
      <w:lvlText w:val=""/>
      <w:lvlJc w:val="left"/>
      <w:pPr>
        <w:ind w:left="4950" w:hanging="360"/>
      </w:pPr>
      <w:rPr>
        <w:rFonts w:ascii="Symbol" w:hAnsi="Symbol" w:hint="default"/>
      </w:rPr>
    </w:lvl>
    <w:lvl w:ilvl="7" w:tplc="04090003">
      <w:start w:val="1"/>
      <w:numFmt w:val="bullet"/>
      <w:lvlText w:val="o"/>
      <w:lvlJc w:val="left"/>
      <w:pPr>
        <w:ind w:left="5670" w:hanging="360"/>
      </w:pPr>
      <w:rPr>
        <w:rFonts w:ascii="Courier New" w:hAnsi="Courier New" w:cs="Courier New" w:hint="default"/>
      </w:rPr>
    </w:lvl>
    <w:lvl w:ilvl="8" w:tplc="04090005">
      <w:start w:val="1"/>
      <w:numFmt w:val="bullet"/>
      <w:lvlText w:val=""/>
      <w:lvlJc w:val="left"/>
      <w:pPr>
        <w:ind w:left="6390" w:hanging="360"/>
      </w:pPr>
      <w:rPr>
        <w:rFonts w:ascii="Wingdings" w:hAnsi="Wingdings" w:hint="default"/>
      </w:rPr>
    </w:lvl>
  </w:abstractNum>
  <w:abstractNum w:abstractNumId="14" w15:restartNumberingAfterBreak="0">
    <w:nsid w:val="215E5967"/>
    <w:multiLevelType w:val="hybridMultilevel"/>
    <w:tmpl w:val="01B25AD6"/>
    <w:lvl w:ilvl="0" w:tplc="9A1831B4">
      <w:start w:val="1"/>
      <w:numFmt w:val="decimal"/>
      <w:lvlText w:val="%1)"/>
      <w:lvlJc w:val="left"/>
      <w:pPr>
        <w:ind w:left="126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2A6795"/>
    <w:multiLevelType w:val="hybridMultilevel"/>
    <w:tmpl w:val="3934F69E"/>
    <w:lvl w:ilvl="0" w:tplc="B7A01C68">
      <w:start w:val="1"/>
      <w:numFmt w:val="decimal"/>
      <w:lvlText w:val="%1)"/>
      <w:lvlJc w:val="left"/>
      <w:pPr>
        <w:ind w:left="126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40A4CB4"/>
    <w:multiLevelType w:val="multilevel"/>
    <w:tmpl w:val="F9F60A72"/>
    <w:lvl w:ilvl="0">
      <w:start w:val="1"/>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4BB485A"/>
    <w:multiLevelType w:val="hybridMultilevel"/>
    <w:tmpl w:val="BBFC49DC"/>
    <w:lvl w:ilvl="0" w:tplc="DC5AF298">
      <w:start w:val="8"/>
      <w:numFmt w:val="decimal"/>
      <w:lvlText w:val="Գծապատկեր %1."/>
      <w:lvlJc w:val="left"/>
      <w:pPr>
        <w:ind w:left="720" w:hanging="360"/>
      </w:pPr>
      <w:rPr>
        <w:rFonts w:ascii="GHEA Grapalat" w:hAnsi="GHEA Grapalat" w:hint="default"/>
        <w:b/>
        <w:i w:val="0"/>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5AC6142"/>
    <w:multiLevelType w:val="hybridMultilevel"/>
    <w:tmpl w:val="E7624A12"/>
    <w:lvl w:ilvl="0" w:tplc="04090001">
      <w:start w:val="1"/>
      <w:numFmt w:val="bullet"/>
      <w:lvlText w:val=""/>
      <w:lvlJc w:val="left"/>
      <w:pPr>
        <w:ind w:left="1155" w:hanging="360"/>
      </w:pPr>
      <w:rPr>
        <w:rFonts w:ascii="Symbol" w:hAnsi="Symbol"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19" w15:restartNumberingAfterBreak="0">
    <w:nsid w:val="280172D7"/>
    <w:multiLevelType w:val="hybridMultilevel"/>
    <w:tmpl w:val="04381E30"/>
    <w:lvl w:ilvl="0" w:tplc="04090001">
      <w:start w:val="1"/>
      <w:numFmt w:val="bullet"/>
      <w:lvlText w:val=""/>
      <w:lvlJc w:val="left"/>
      <w:pPr>
        <w:ind w:left="1287" w:hanging="360"/>
      </w:pPr>
      <w:rPr>
        <w:rFonts w:ascii="Symbol" w:hAnsi="Symbol" w:hint="default"/>
        <w:b w:val="0"/>
        <w:i w:val="0"/>
        <w:sz w:val="24"/>
      </w:rPr>
    </w:lvl>
    <w:lvl w:ilvl="1" w:tplc="04090003">
      <w:start w:val="1"/>
      <w:numFmt w:val="bullet"/>
      <w:lvlText w:val="o"/>
      <w:lvlJc w:val="left"/>
      <w:pPr>
        <w:ind w:left="2007" w:hanging="360"/>
      </w:pPr>
      <w:rPr>
        <w:rFonts w:ascii="Courier New" w:hAnsi="Courier New" w:cs="Times New Roman"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Times New Roman"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Times New Roman" w:hint="default"/>
      </w:rPr>
    </w:lvl>
    <w:lvl w:ilvl="8" w:tplc="04090005">
      <w:start w:val="1"/>
      <w:numFmt w:val="bullet"/>
      <w:lvlText w:val=""/>
      <w:lvlJc w:val="left"/>
      <w:pPr>
        <w:ind w:left="7047" w:hanging="360"/>
      </w:pPr>
      <w:rPr>
        <w:rFonts w:ascii="Wingdings" w:hAnsi="Wingdings" w:hint="default"/>
      </w:rPr>
    </w:lvl>
  </w:abstractNum>
  <w:abstractNum w:abstractNumId="20" w15:restartNumberingAfterBreak="0">
    <w:nsid w:val="284D5D9B"/>
    <w:multiLevelType w:val="hybridMultilevel"/>
    <w:tmpl w:val="C8469974"/>
    <w:lvl w:ilvl="0" w:tplc="99D2946E">
      <w:start w:val="1"/>
      <w:numFmt w:val="decimal"/>
      <w:lvlText w:val="Գծապատկեր %1."/>
      <w:lvlJc w:val="left"/>
      <w:pPr>
        <w:ind w:left="360" w:hanging="360"/>
      </w:pPr>
      <w:rPr>
        <w:rFonts w:ascii="GHEA Grapalat" w:hAnsi="GHEA Grapalat" w:hint="default"/>
        <w:b/>
        <w:i w:val="0"/>
        <w:sz w:val="18"/>
        <w:szCs w:val="1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A513057"/>
    <w:multiLevelType w:val="hybridMultilevel"/>
    <w:tmpl w:val="80409346"/>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 w15:restartNumberingAfterBreak="0">
    <w:nsid w:val="2B8128A6"/>
    <w:multiLevelType w:val="hybridMultilevel"/>
    <w:tmpl w:val="5010E3F4"/>
    <w:lvl w:ilvl="0" w:tplc="91281F7E">
      <w:start w:val="2020"/>
      <w:numFmt w:val="bullet"/>
      <w:lvlText w:val=""/>
      <w:lvlJc w:val="left"/>
      <w:pPr>
        <w:ind w:left="1287" w:hanging="360"/>
      </w:pPr>
      <w:rPr>
        <w:rFonts w:ascii="Symbol" w:eastAsia="Calibri" w:hAnsi="Symbol"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2D1407D4"/>
    <w:multiLevelType w:val="hybridMultilevel"/>
    <w:tmpl w:val="0A70BC62"/>
    <w:lvl w:ilvl="0" w:tplc="E0245586">
      <w:start w:val="1"/>
      <w:numFmt w:val="decimal"/>
      <w:lvlText w:val="%1)"/>
      <w:lvlJc w:val="left"/>
      <w:pPr>
        <w:ind w:left="126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E138E8"/>
    <w:multiLevelType w:val="hybridMultilevel"/>
    <w:tmpl w:val="A2D67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6C55687"/>
    <w:multiLevelType w:val="hybridMultilevel"/>
    <w:tmpl w:val="76F03D12"/>
    <w:lvl w:ilvl="0" w:tplc="938C0B9A">
      <w:start w:val="18"/>
      <w:numFmt w:val="decimal"/>
      <w:lvlText w:val="Գծապատկեր %1."/>
      <w:lvlJc w:val="left"/>
      <w:pPr>
        <w:ind w:left="720" w:hanging="360"/>
      </w:pPr>
      <w:rPr>
        <w:rFonts w:ascii="GHEA Grapalat" w:hAnsi="GHEA Grapalat" w:hint="default"/>
        <w:b/>
        <w:i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99C6136"/>
    <w:multiLevelType w:val="hybridMultilevel"/>
    <w:tmpl w:val="33DA7FD4"/>
    <w:lvl w:ilvl="0" w:tplc="B95A2612">
      <w:start w:val="1"/>
      <w:numFmt w:val="decimal"/>
      <w:lvlText w:val="%1."/>
      <w:lvlJc w:val="left"/>
      <w:pPr>
        <w:ind w:left="1287" w:hanging="360"/>
      </w:pPr>
      <w:rPr>
        <w:rFonts w:ascii="GHEA Grapalat" w:hAnsi="GHEA Grapalat" w:hint="default"/>
        <w:b w:val="0"/>
        <w:i w:val="0"/>
        <w:sz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27C5641"/>
    <w:multiLevelType w:val="hybridMultilevel"/>
    <w:tmpl w:val="74E61C96"/>
    <w:lvl w:ilvl="0" w:tplc="938C0B9A">
      <w:start w:val="18"/>
      <w:numFmt w:val="decimal"/>
      <w:lvlText w:val="Գծապատկեր %1."/>
      <w:lvlJc w:val="left"/>
      <w:pPr>
        <w:ind w:left="720" w:hanging="360"/>
      </w:pPr>
      <w:rPr>
        <w:rFonts w:ascii="GHEA Grapalat" w:hAnsi="GHEA Grapalat" w:hint="default"/>
        <w:b/>
        <w:i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7361863"/>
    <w:multiLevelType w:val="hybridMultilevel"/>
    <w:tmpl w:val="DD548040"/>
    <w:lvl w:ilvl="0" w:tplc="78E2FC20">
      <w:numFmt w:val="bullet"/>
      <w:lvlText w:val="-"/>
      <w:lvlJc w:val="left"/>
      <w:pPr>
        <w:ind w:left="927" w:hanging="360"/>
      </w:pPr>
      <w:rPr>
        <w:rFonts w:ascii="GHEA Grapalat" w:eastAsia="Times New Roman" w:hAnsi="GHEA Grapalat"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0" w15:restartNumberingAfterBreak="0">
    <w:nsid w:val="49F03B04"/>
    <w:multiLevelType w:val="hybridMultilevel"/>
    <w:tmpl w:val="AEE8A4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 w15:restartNumberingAfterBreak="0">
    <w:nsid w:val="50911300"/>
    <w:multiLevelType w:val="hybridMultilevel"/>
    <w:tmpl w:val="8AAA28FA"/>
    <w:lvl w:ilvl="0" w:tplc="04090011">
      <w:start w:val="1"/>
      <w:numFmt w:val="decimal"/>
      <w:lvlText w:val="%1)"/>
      <w:lvlJc w:val="left"/>
      <w:pPr>
        <w:ind w:left="540" w:hanging="360"/>
      </w:pPr>
      <w:rPr>
        <w:rFonts w:hint="default"/>
      </w:rPr>
    </w:lvl>
    <w:lvl w:ilvl="1" w:tplc="04090003" w:tentative="1">
      <w:start w:val="1"/>
      <w:numFmt w:val="bullet"/>
      <w:lvlText w:val="o"/>
      <w:lvlJc w:val="left"/>
      <w:pPr>
        <w:ind w:left="1260" w:hanging="360"/>
      </w:pPr>
      <w:rPr>
        <w:rFonts w:ascii="Courier New" w:hAnsi="Courier New" w:cs="Courier New" w:hint="default"/>
      </w:rPr>
    </w:lvl>
    <w:lvl w:ilvl="2" w:tplc="04090005" w:tentative="1">
      <w:start w:val="1"/>
      <w:numFmt w:val="bullet"/>
      <w:lvlText w:val=""/>
      <w:lvlJc w:val="left"/>
      <w:pPr>
        <w:ind w:left="1980" w:hanging="360"/>
      </w:pPr>
      <w:rPr>
        <w:rFonts w:ascii="Wingdings" w:hAnsi="Wingdings" w:hint="default"/>
      </w:rPr>
    </w:lvl>
    <w:lvl w:ilvl="3" w:tplc="04090001" w:tentative="1">
      <w:start w:val="1"/>
      <w:numFmt w:val="bullet"/>
      <w:lvlText w:val=""/>
      <w:lvlJc w:val="left"/>
      <w:pPr>
        <w:ind w:left="2700" w:hanging="360"/>
      </w:pPr>
      <w:rPr>
        <w:rFonts w:ascii="Symbol" w:hAnsi="Symbol" w:hint="default"/>
      </w:rPr>
    </w:lvl>
    <w:lvl w:ilvl="4" w:tplc="04090003" w:tentative="1">
      <w:start w:val="1"/>
      <w:numFmt w:val="bullet"/>
      <w:lvlText w:val="o"/>
      <w:lvlJc w:val="left"/>
      <w:pPr>
        <w:ind w:left="3420" w:hanging="360"/>
      </w:pPr>
      <w:rPr>
        <w:rFonts w:ascii="Courier New" w:hAnsi="Courier New" w:cs="Courier New" w:hint="default"/>
      </w:rPr>
    </w:lvl>
    <w:lvl w:ilvl="5" w:tplc="04090005" w:tentative="1">
      <w:start w:val="1"/>
      <w:numFmt w:val="bullet"/>
      <w:lvlText w:val=""/>
      <w:lvlJc w:val="left"/>
      <w:pPr>
        <w:ind w:left="4140" w:hanging="360"/>
      </w:pPr>
      <w:rPr>
        <w:rFonts w:ascii="Wingdings" w:hAnsi="Wingdings" w:hint="default"/>
      </w:rPr>
    </w:lvl>
    <w:lvl w:ilvl="6" w:tplc="04090001" w:tentative="1">
      <w:start w:val="1"/>
      <w:numFmt w:val="bullet"/>
      <w:lvlText w:val=""/>
      <w:lvlJc w:val="left"/>
      <w:pPr>
        <w:ind w:left="4860" w:hanging="360"/>
      </w:pPr>
      <w:rPr>
        <w:rFonts w:ascii="Symbol" w:hAnsi="Symbol" w:hint="default"/>
      </w:rPr>
    </w:lvl>
    <w:lvl w:ilvl="7" w:tplc="04090003" w:tentative="1">
      <w:start w:val="1"/>
      <w:numFmt w:val="bullet"/>
      <w:lvlText w:val="o"/>
      <w:lvlJc w:val="left"/>
      <w:pPr>
        <w:ind w:left="5580" w:hanging="360"/>
      </w:pPr>
      <w:rPr>
        <w:rFonts w:ascii="Courier New" w:hAnsi="Courier New" w:cs="Courier New" w:hint="default"/>
      </w:rPr>
    </w:lvl>
    <w:lvl w:ilvl="8" w:tplc="04090005" w:tentative="1">
      <w:start w:val="1"/>
      <w:numFmt w:val="bullet"/>
      <w:lvlText w:val=""/>
      <w:lvlJc w:val="left"/>
      <w:pPr>
        <w:ind w:left="6300" w:hanging="360"/>
      </w:pPr>
      <w:rPr>
        <w:rFonts w:ascii="Wingdings" w:hAnsi="Wingdings" w:hint="default"/>
      </w:rPr>
    </w:lvl>
  </w:abstractNum>
  <w:abstractNum w:abstractNumId="32" w15:restartNumberingAfterBreak="0">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33" w15:restartNumberingAfterBreak="0">
    <w:nsid w:val="58767D22"/>
    <w:multiLevelType w:val="hybridMultilevel"/>
    <w:tmpl w:val="532ADCA2"/>
    <w:lvl w:ilvl="0" w:tplc="CB24C524">
      <w:start w:val="1"/>
      <w:numFmt w:val="decimal"/>
      <w:lvlText w:val="Գծապատկեր %1."/>
      <w:lvlJc w:val="left"/>
      <w:pPr>
        <w:ind w:left="720" w:hanging="360"/>
      </w:pPr>
      <w:rPr>
        <w:rFonts w:ascii="GHEA Grapalat" w:hAnsi="GHEA Grapalat" w:hint="default"/>
        <w:b/>
        <w:i w:val="0"/>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8F6143A"/>
    <w:multiLevelType w:val="hybridMultilevel"/>
    <w:tmpl w:val="4CB051CC"/>
    <w:lvl w:ilvl="0" w:tplc="82D6ECE0">
      <w:start w:val="1"/>
      <w:numFmt w:val="decimal"/>
      <w:lvlText w:val="Գծապատկեր %1."/>
      <w:lvlJc w:val="left"/>
      <w:pPr>
        <w:ind w:left="720" w:hanging="360"/>
      </w:pPr>
      <w:rPr>
        <w:rFonts w:ascii="GHEA Grapalat" w:hAnsi="GHEA Grapalat" w:hint="default"/>
        <w:b/>
        <w:i/>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FB60673"/>
    <w:multiLevelType w:val="hybridMultilevel"/>
    <w:tmpl w:val="3B0827F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3113C22"/>
    <w:multiLevelType w:val="hybridMultilevel"/>
    <w:tmpl w:val="5A0E4CFA"/>
    <w:lvl w:ilvl="0" w:tplc="63845F3A">
      <w:start w:val="1"/>
      <w:numFmt w:val="decimal"/>
      <w:pStyle w:val="a"/>
      <w:lvlText w:val="Աղյուսակ %1."/>
      <w:lvlJc w:val="left"/>
      <w:pPr>
        <w:ind w:left="720" w:hanging="360"/>
      </w:pPr>
      <w:rPr>
        <w:rFonts w:ascii="GHEA Grapalat" w:hAnsi="GHEA Grapalat" w:cs="Times New Roman" w:hint="default"/>
        <w:b/>
        <w:i w:val="0"/>
        <w:color w:val="auto"/>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7" w15:restartNumberingAfterBreak="0">
    <w:nsid w:val="67A916F0"/>
    <w:multiLevelType w:val="hybridMultilevel"/>
    <w:tmpl w:val="C2A25E52"/>
    <w:lvl w:ilvl="0" w:tplc="DFBE0218">
      <w:start w:val="1"/>
      <w:numFmt w:val="bullet"/>
      <w:pStyle w:val="BULET"/>
      <w:lvlText w:val=""/>
      <w:lvlJc w:val="left"/>
      <w:pPr>
        <w:ind w:left="1174" w:hanging="360"/>
      </w:pPr>
      <w:rPr>
        <w:rFonts w:ascii="Symbol" w:hAnsi="Symbol" w:hint="default"/>
      </w:rPr>
    </w:lvl>
    <w:lvl w:ilvl="1" w:tplc="04090003">
      <w:start w:val="1"/>
      <w:numFmt w:val="bullet"/>
      <w:lvlText w:val="o"/>
      <w:lvlJc w:val="left"/>
      <w:pPr>
        <w:ind w:left="1894" w:hanging="360"/>
      </w:pPr>
      <w:rPr>
        <w:rFonts w:ascii="Courier New" w:hAnsi="Courier New" w:hint="default"/>
      </w:rPr>
    </w:lvl>
    <w:lvl w:ilvl="2" w:tplc="04090005">
      <w:start w:val="1"/>
      <w:numFmt w:val="bullet"/>
      <w:lvlText w:val=""/>
      <w:lvlJc w:val="left"/>
      <w:pPr>
        <w:ind w:left="2614" w:hanging="360"/>
      </w:pPr>
      <w:rPr>
        <w:rFonts w:ascii="Wingdings" w:hAnsi="Wingdings" w:hint="default"/>
      </w:rPr>
    </w:lvl>
    <w:lvl w:ilvl="3" w:tplc="04090001">
      <w:start w:val="1"/>
      <w:numFmt w:val="bullet"/>
      <w:lvlText w:val=""/>
      <w:lvlJc w:val="left"/>
      <w:pPr>
        <w:ind w:left="3334" w:hanging="360"/>
      </w:pPr>
      <w:rPr>
        <w:rFonts w:ascii="Symbol" w:hAnsi="Symbol" w:hint="default"/>
      </w:rPr>
    </w:lvl>
    <w:lvl w:ilvl="4" w:tplc="04090003">
      <w:start w:val="1"/>
      <w:numFmt w:val="bullet"/>
      <w:lvlText w:val="o"/>
      <w:lvlJc w:val="left"/>
      <w:pPr>
        <w:ind w:left="4054" w:hanging="360"/>
      </w:pPr>
      <w:rPr>
        <w:rFonts w:ascii="Courier New" w:hAnsi="Courier New" w:hint="default"/>
      </w:rPr>
    </w:lvl>
    <w:lvl w:ilvl="5" w:tplc="04090005">
      <w:start w:val="1"/>
      <w:numFmt w:val="bullet"/>
      <w:lvlText w:val=""/>
      <w:lvlJc w:val="left"/>
      <w:pPr>
        <w:ind w:left="4774" w:hanging="360"/>
      </w:pPr>
      <w:rPr>
        <w:rFonts w:ascii="Wingdings" w:hAnsi="Wingdings" w:hint="default"/>
      </w:rPr>
    </w:lvl>
    <w:lvl w:ilvl="6" w:tplc="04090001">
      <w:start w:val="1"/>
      <w:numFmt w:val="bullet"/>
      <w:lvlText w:val=""/>
      <w:lvlJc w:val="left"/>
      <w:pPr>
        <w:ind w:left="5494" w:hanging="360"/>
      </w:pPr>
      <w:rPr>
        <w:rFonts w:ascii="Symbol" w:hAnsi="Symbol" w:hint="default"/>
      </w:rPr>
    </w:lvl>
    <w:lvl w:ilvl="7" w:tplc="04090003">
      <w:start w:val="1"/>
      <w:numFmt w:val="bullet"/>
      <w:lvlText w:val="o"/>
      <w:lvlJc w:val="left"/>
      <w:pPr>
        <w:ind w:left="6214" w:hanging="360"/>
      </w:pPr>
      <w:rPr>
        <w:rFonts w:ascii="Courier New" w:hAnsi="Courier New" w:hint="default"/>
      </w:rPr>
    </w:lvl>
    <w:lvl w:ilvl="8" w:tplc="04090005">
      <w:start w:val="1"/>
      <w:numFmt w:val="bullet"/>
      <w:lvlText w:val=""/>
      <w:lvlJc w:val="left"/>
      <w:pPr>
        <w:ind w:left="6934" w:hanging="360"/>
      </w:pPr>
      <w:rPr>
        <w:rFonts w:ascii="Wingdings" w:hAnsi="Wingdings" w:hint="default"/>
      </w:rPr>
    </w:lvl>
  </w:abstractNum>
  <w:abstractNum w:abstractNumId="38" w15:restartNumberingAfterBreak="0">
    <w:nsid w:val="6FAC76F7"/>
    <w:multiLevelType w:val="hybridMultilevel"/>
    <w:tmpl w:val="6740A138"/>
    <w:lvl w:ilvl="0" w:tplc="9054680E">
      <w:start w:val="1"/>
      <w:numFmt w:val="decimal"/>
      <w:pStyle w:val="a0"/>
      <w:lvlText w:val="Գծապատկեր %1."/>
      <w:lvlJc w:val="left"/>
      <w:pPr>
        <w:ind w:left="720" w:hanging="360"/>
      </w:pPr>
      <w:rPr>
        <w:rFonts w:ascii="GHEA Grapalat" w:hAnsi="GHEA Grapalat" w:hint="default"/>
        <w:b/>
        <w:i w:val="0"/>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C11369"/>
    <w:multiLevelType w:val="hybridMultilevel"/>
    <w:tmpl w:val="BB6E0950"/>
    <w:lvl w:ilvl="0" w:tplc="938C0B9A">
      <w:start w:val="18"/>
      <w:numFmt w:val="decimal"/>
      <w:lvlText w:val="Գծապատկեր %1."/>
      <w:lvlJc w:val="left"/>
      <w:pPr>
        <w:ind w:left="720" w:hanging="360"/>
      </w:pPr>
      <w:rPr>
        <w:rFonts w:ascii="GHEA Grapalat" w:hAnsi="GHEA Grapalat" w:hint="default"/>
        <w:b/>
        <w:i w:val="0"/>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1A2191D"/>
    <w:multiLevelType w:val="hybridMultilevel"/>
    <w:tmpl w:val="3D3A3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36A69FF"/>
    <w:multiLevelType w:val="hybridMultilevel"/>
    <w:tmpl w:val="7938EBBC"/>
    <w:lvl w:ilvl="0" w:tplc="7C4E2A4E">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73B366DB"/>
    <w:multiLevelType w:val="hybridMultilevel"/>
    <w:tmpl w:val="4D64536C"/>
    <w:lvl w:ilvl="0" w:tplc="508ED326">
      <w:start w:val="1"/>
      <w:numFmt w:val="decimal"/>
      <w:lvlText w:val="%1)"/>
      <w:lvlJc w:val="left"/>
      <w:pPr>
        <w:ind w:left="126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95D2BDB"/>
    <w:multiLevelType w:val="multilevel"/>
    <w:tmpl w:val="770ED810"/>
    <w:styleLink w:val="1"/>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num w:numId="1">
    <w:abstractNumId w:val="0"/>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2">
    <w:abstractNumId w:val="27"/>
  </w:num>
  <w:num w:numId="3">
    <w:abstractNumId w:val="37"/>
  </w:num>
  <w:num w:numId="4">
    <w:abstractNumId w:val="32"/>
  </w:num>
  <w:num w:numId="5">
    <w:abstractNumId w:val="36"/>
  </w:num>
  <w:num w:numId="6">
    <w:abstractNumId w:val="9"/>
  </w:num>
  <w:num w:numId="7">
    <w:abstractNumId w:val="41"/>
  </w:num>
  <w:num w:numId="8">
    <w:abstractNumId w:val="4"/>
  </w:num>
  <w:num w:numId="9">
    <w:abstractNumId w:val="43"/>
  </w:num>
  <w:num w:numId="10">
    <w:abstractNumId w:val="31"/>
  </w:num>
  <w:num w:numId="11">
    <w:abstractNumId w:val="21"/>
  </w:num>
  <w:num w:numId="12">
    <w:abstractNumId w:val="29"/>
  </w:num>
  <w:num w:numId="13">
    <w:abstractNumId w:val="26"/>
  </w:num>
  <w:num w:numId="14">
    <w:abstractNumId w:val="15"/>
  </w:num>
  <w:num w:numId="15">
    <w:abstractNumId w:val="42"/>
  </w:num>
  <w:num w:numId="16">
    <w:abstractNumId w:val="1"/>
  </w:num>
  <w:num w:numId="17">
    <w:abstractNumId w:val="5"/>
  </w:num>
  <w:num w:numId="18">
    <w:abstractNumId w:val="14"/>
  </w:num>
  <w:num w:numId="19">
    <w:abstractNumId w:val="23"/>
  </w:num>
  <w:num w:numId="20">
    <w:abstractNumId w:val="22"/>
  </w:num>
  <w:num w:numId="21">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num>
  <w:num w:numId="25">
    <w:abstractNumId w:val="13"/>
  </w:num>
  <w:num w:numId="26">
    <w:abstractNumId w:val="3"/>
  </w:num>
  <w:num w:numId="27">
    <w:abstractNumId w:val="13"/>
  </w:num>
  <w:num w:numId="28">
    <w:abstractNumId w:val="11"/>
  </w:num>
  <w:num w:numId="29">
    <w:abstractNumId w:val="24"/>
  </w:num>
  <w:num w:numId="30">
    <w:abstractNumId w:val="40"/>
  </w:num>
  <w:num w:numId="31">
    <w:abstractNumId w:val="30"/>
  </w:num>
  <w:num w:numId="32">
    <w:abstractNumId w:val="6"/>
  </w:num>
  <w:num w:numId="33">
    <w:abstractNumId w:val="4"/>
  </w:num>
  <w:num w:numId="34">
    <w:abstractNumId w:val="4"/>
  </w:num>
  <w:num w:numId="35">
    <w:abstractNumId w:val="4"/>
  </w:num>
  <w:num w:numId="36">
    <w:abstractNumId w:val="4"/>
  </w:num>
  <w:num w:numId="37">
    <w:abstractNumId w:val="4"/>
  </w:num>
  <w:num w:numId="38">
    <w:abstractNumId w:val="10"/>
  </w:num>
  <w:num w:numId="39">
    <w:abstractNumId w:val="35"/>
  </w:num>
  <w:num w:numId="40">
    <w:abstractNumId w:val="17"/>
  </w:num>
  <w:num w:numId="41">
    <w:abstractNumId w:val="20"/>
  </w:num>
  <w:num w:numId="42">
    <w:abstractNumId w:val="38"/>
  </w:num>
  <w:num w:numId="43">
    <w:abstractNumId w:val="16"/>
  </w:num>
  <w:num w:numId="44">
    <w:abstractNumId w:val="2"/>
  </w:num>
  <w:num w:numId="45">
    <w:abstractNumId w:val="33"/>
  </w:num>
  <w:num w:numId="46">
    <w:abstractNumId w:val="7"/>
  </w:num>
  <w:num w:numId="47">
    <w:abstractNumId w:val="39"/>
  </w:num>
  <w:num w:numId="48">
    <w:abstractNumId w:val="25"/>
  </w:num>
  <w:num w:numId="49">
    <w:abstractNumId w:val="34"/>
  </w:num>
  <w:num w:numId="50">
    <w:abstractNumId w:val="8"/>
  </w:num>
  <w:num w:numId="51">
    <w:abstractNumId w:val="2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hideGrammaticalErrors/>
  <w:activeWritingStyle w:appName="MSWord" w:lang="en-US" w:vendorID="64" w:dllVersion="6" w:nlCheck="1" w:checkStyle="0"/>
  <w:activeWritingStyle w:appName="MSWord" w:lang="fr-FR" w:vendorID="64" w:dllVersion="6" w:nlCheck="1" w:checkStyle="0"/>
  <w:activeWritingStyle w:appName="MSWord" w:lang="en-GB" w:vendorID="64" w:dllVersion="6" w:nlCheck="1" w:checkStyle="0"/>
  <w:activeWritingStyle w:appName="MSWord" w:lang="en-US" w:vendorID="64" w:dllVersion="4096" w:nlCheck="1" w:checkStyle="0"/>
  <w:activeWritingStyle w:appName="MSWord" w:lang="ru-RU" w:vendorID="64" w:dllVersion="4096" w:nlCheck="1" w:checkStyle="0"/>
  <w:activeWritingStyle w:appName="MSWord" w:lang="de-AT" w:vendorID="64" w:dllVersion="4096"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A3F"/>
    <w:rsid w:val="000001C8"/>
    <w:rsid w:val="00000201"/>
    <w:rsid w:val="000004F7"/>
    <w:rsid w:val="0000055D"/>
    <w:rsid w:val="0000077D"/>
    <w:rsid w:val="00000899"/>
    <w:rsid w:val="00000968"/>
    <w:rsid w:val="00000A98"/>
    <w:rsid w:val="00000D3B"/>
    <w:rsid w:val="00000F60"/>
    <w:rsid w:val="000013F4"/>
    <w:rsid w:val="00001548"/>
    <w:rsid w:val="0000157A"/>
    <w:rsid w:val="00001589"/>
    <w:rsid w:val="00001645"/>
    <w:rsid w:val="0000170C"/>
    <w:rsid w:val="0000179A"/>
    <w:rsid w:val="000017C3"/>
    <w:rsid w:val="0000189D"/>
    <w:rsid w:val="00001BB9"/>
    <w:rsid w:val="00001BBF"/>
    <w:rsid w:val="00001ED3"/>
    <w:rsid w:val="00001F0B"/>
    <w:rsid w:val="000020A6"/>
    <w:rsid w:val="000020AE"/>
    <w:rsid w:val="000021AF"/>
    <w:rsid w:val="00002329"/>
    <w:rsid w:val="0000239B"/>
    <w:rsid w:val="0000249B"/>
    <w:rsid w:val="00002726"/>
    <w:rsid w:val="000027BA"/>
    <w:rsid w:val="0000288C"/>
    <w:rsid w:val="00002A60"/>
    <w:rsid w:val="00002C17"/>
    <w:rsid w:val="00002CDA"/>
    <w:rsid w:val="00002CFC"/>
    <w:rsid w:val="00002F7D"/>
    <w:rsid w:val="00003294"/>
    <w:rsid w:val="0000329C"/>
    <w:rsid w:val="000034E6"/>
    <w:rsid w:val="000034F4"/>
    <w:rsid w:val="00003559"/>
    <w:rsid w:val="00003719"/>
    <w:rsid w:val="0000372F"/>
    <w:rsid w:val="0000390E"/>
    <w:rsid w:val="000039EB"/>
    <w:rsid w:val="00003A46"/>
    <w:rsid w:val="00003B2F"/>
    <w:rsid w:val="00003BD4"/>
    <w:rsid w:val="00003C9C"/>
    <w:rsid w:val="00003CA3"/>
    <w:rsid w:val="00003E78"/>
    <w:rsid w:val="00004019"/>
    <w:rsid w:val="0000409B"/>
    <w:rsid w:val="00004165"/>
    <w:rsid w:val="0000419F"/>
    <w:rsid w:val="00004224"/>
    <w:rsid w:val="00004272"/>
    <w:rsid w:val="0000459A"/>
    <w:rsid w:val="000045D6"/>
    <w:rsid w:val="000046B9"/>
    <w:rsid w:val="00004822"/>
    <w:rsid w:val="0000498F"/>
    <w:rsid w:val="00004BE0"/>
    <w:rsid w:val="00004C6A"/>
    <w:rsid w:val="00004E20"/>
    <w:rsid w:val="00004EC5"/>
    <w:rsid w:val="00005092"/>
    <w:rsid w:val="00005167"/>
    <w:rsid w:val="000057A4"/>
    <w:rsid w:val="00005997"/>
    <w:rsid w:val="00005A97"/>
    <w:rsid w:val="00005AC2"/>
    <w:rsid w:val="00005C80"/>
    <w:rsid w:val="00005D34"/>
    <w:rsid w:val="00005E58"/>
    <w:rsid w:val="00006096"/>
    <w:rsid w:val="000060BD"/>
    <w:rsid w:val="000067AD"/>
    <w:rsid w:val="00006C68"/>
    <w:rsid w:val="00006FD6"/>
    <w:rsid w:val="00007270"/>
    <w:rsid w:val="00007399"/>
    <w:rsid w:val="00007463"/>
    <w:rsid w:val="00007575"/>
    <w:rsid w:val="0000762D"/>
    <w:rsid w:val="0000766F"/>
    <w:rsid w:val="000078BF"/>
    <w:rsid w:val="000079A0"/>
    <w:rsid w:val="00007A23"/>
    <w:rsid w:val="00007AA8"/>
    <w:rsid w:val="00007ABF"/>
    <w:rsid w:val="00007B36"/>
    <w:rsid w:val="00007F76"/>
    <w:rsid w:val="00010289"/>
    <w:rsid w:val="0001045D"/>
    <w:rsid w:val="00010549"/>
    <w:rsid w:val="0001056E"/>
    <w:rsid w:val="000105DC"/>
    <w:rsid w:val="0001087C"/>
    <w:rsid w:val="0001098E"/>
    <w:rsid w:val="00010D32"/>
    <w:rsid w:val="00011363"/>
    <w:rsid w:val="000117CA"/>
    <w:rsid w:val="0001194E"/>
    <w:rsid w:val="00011A21"/>
    <w:rsid w:val="00011AAB"/>
    <w:rsid w:val="00011ACC"/>
    <w:rsid w:val="00011B39"/>
    <w:rsid w:val="00011B85"/>
    <w:rsid w:val="00011C5D"/>
    <w:rsid w:val="00011CC2"/>
    <w:rsid w:val="00011E94"/>
    <w:rsid w:val="00011F37"/>
    <w:rsid w:val="00011FC0"/>
    <w:rsid w:val="00012070"/>
    <w:rsid w:val="000120AF"/>
    <w:rsid w:val="0001219F"/>
    <w:rsid w:val="00012255"/>
    <w:rsid w:val="000129E4"/>
    <w:rsid w:val="00012B31"/>
    <w:rsid w:val="00012D91"/>
    <w:rsid w:val="0001302C"/>
    <w:rsid w:val="000130AE"/>
    <w:rsid w:val="000130B5"/>
    <w:rsid w:val="000130E0"/>
    <w:rsid w:val="00013357"/>
    <w:rsid w:val="000133F2"/>
    <w:rsid w:val="0001340F"/>
    <w:rsid w:val="0001385D"/>
    <w:rsid w:val="0001386B"/>
    <w:rsid w:val="00013944"/>
    <w:rsid w:val="000139F1"/>
    <w:rsid w:val="00013ABE"/>
    <w:rsid w:val="00013D2C"/>
    <w:rsid w:val="00013D5A"/>
    <w:rsid w:val="0001421E"/>
    <w:rsid w:val="0001423F"/>
    <w:rsid w:val="000144FE"/>
    <w:rsid w:val="000145E3"/>
    <w:rsid w:val="000148F8"/>
    <w:rsid w:val="00014B38"/>
    <w:rsid w:val="00015089"/>
    <w:rsid w:val="000152BB"/>
    <w:rsid w:val="000159B6"/>
    <w:rsid w:val="00015A31"/>
    <w:rsid w:val="00015AB1"/>
    <w:rsid w:val="00015ADA"/>
    <w:rsid w:val="00015BCC"/>
    <w:rsid w:val="00015ED0"/>
    <w:rsid w:val="0001601E"/>
    <w:rsid w:val="00016109"/>
    <w:rsid w:val="0001616A"/>
    <w:rsid w:val="0001616F"/>
    <w:rsid w:val="0001642F"/>
    <w:rsid w:val="000164F5"/>
    <w:rsid w:val="0001673A"/>
    <w:rsid w:val="00016B8C"/>
    <w:rsid w:val="00017026"/>
    <w:rsid w:val="000170A9"/>
    <w:rsid w:val="0001725A"/>
    <w:rsid w:val="000176F9"/>
    <w:rsid w:val="0001780E"/>
    <w:rsid w:val="00017907"/>
    <w:rsid w:val="00017B66"/>
    <w:rsid w:val="00017C04"/>
    <w:rsid w:val="00017D27"/>
    <w:rsid w:val="00017FF7"/>
    <w:rsid w:val="0002002F"/>
    <w:rsid w:val="000201E8"/>
    <w:rsid w:val="000203E1"/>
    <w:rsid w:val="00020461"/>
    <w:rsid w:val="000207E6"/>
    <w:rsid w:val="000207EC"/>
    <w:rsid w:val="0002081D"/>
    <w:rsid w:val="00020AC9"/>
    <w:rsid w:val="00020E46"/>
    <w:rsid w:val="00020F5D"/>
    <w:rsid w:val="00021049"/>
    <w:rsid w:val="000210AF"/>
    <w:rsid w:val="000211EC"/>
    <w:rsid w:val="0002120C"/>
    <w:rsid w:val="000212D6"/>
    <w:rsid w:val="00021483"/>
    <w:rsid w:val="000215A7"/>
    <w:rsid w:val="0002180F"/>
    <w:rsid w:val="00021BB0"/>
    <w:rsid w:val="00021C82"/>
    <w:rsid w:val="00021DA1"/>
    <w:rsid w:val="000220F7"/>
    <w:rsid w:val="0002212A"/>
    <w:rsid w:val="0002225C"/>
    <w:rsid w:val="0002238B"/>
    <w:rsid w:val="0002250B"/>
    <w:rsid w:val="0002251F"/>
    <w:rsid w:val="0002257C"/>
    <w:rsid w:val="0002276D"/>
    <w:rsid w:val="00022940"/>
    <w:rsid w:val="00022A0A"/>
    <w:rsid w:val="00022FB0"/>
    <w:rsid w:val="0002309C"/>
    <w:rsid w:val="000231F5"/>
    <w:rsid w:val="000232BA"/>
    <w:rsid w:val="0002339B"/>
    <w:rsid w:val="0002390E"/>
    <w:rsid w:val="000239D1"/>
    <w:rsid w:val="00023BB4"/>
    <w:rsid w:val="00023CB9"/>
    <w:rsid w:val="00023E1F"/>
    <w:rsid w:val="00023F28"/>
    <w:rsid w:val="00023F85"/>
    <w:rsid w:val="00023F8C"/>
    <w:rsid w:val="0002423F"/>
    <w:rsid w:val="00024472"/>
    <w:rsid w:val="000244A1"/>
    <w:rsid w:val="0002464A"/>
    <w:rsid w:val="000248C0"/>
    <w:rsid w:val="000248F0"/>
    <w:rsid w:val="0002495B"/>
    <w:rsid w:val="000249E0"/>
    <w:rsid w:val="00024A5F"/>
    <w:rsid w:val="00024CC7"/>
    <w:rsid w:val="00024EF6"/>
    <w:rsid w:val="000251DC"/>
    <w:rsid w:val="00025498"/>
    <w:rsid w:val="000255BC"/>
    <w:rsid w:val="000257AA"/>
    <w:rsid w:val="000259A6"/>
    <w:rsid w:val="00025C48"/>
    <w:rsid w:val="00025E32"/>
    <w:rsid w:val="00025E47"/>
    <w:rsid w:val="000260C2"/>
    <w:rsid w:val="000260D9"/>
    <w:rsid w:val="0002614E"/>
    <w:rsid w:val="000263B5"/>
    <w:rsid w:val="000263D5"/>
    <w:rsid w:val="00026500"/>
    <w:rsid w:val="000265A9"/>
    <w:rsid w:val="00026637"/>
    <w:rsid w:val="000266CA"/>
    <w:rsid w:val="0002677B"/>
    <w:rsid w:val="00026797"/>
    <w:rsid w:val="00026B79"/>
    <w:rsid w:val="00026CE2"/>
    <w:rsid w:val="00026D8D"/>
    <w:rsid w:val="00026DEF"/>
    <w:rsid w:val="00026F8B"/>
    <w:rsid w:val="00027065"/>
    <w:rsid w:val="00027233"/>
    <w:rsid w:val="00027356"/>
    <w:rsid w:val="000274EF"/>
    <w:rsid w:val="000277EE"/>
    <w:rsid w:val="00027945"/>
    <w:rsid w:val="00027961"/>
    <w:rsid w:val="00027B33"/>
    <w:rsid w:val="0003005B"/>
    <w:rsid w:val="000300CC"/>
    <w:rsid w:val="0003014C"/>
    <w:rsid w:val="000305EF"/>
    <w:rsid w:val="000307F1"/>
    <w:rsid w:val="00030AA1"/>
    <w:rsid w:val="00030C2B"/>
    <w:rsid w:val="00030CCC"/>
    <w:rsid w:val="00030D64"/>
    <w:rsid w:val="00030F29"/>
    <w:rsid w:val="00030FD4"/>
    <w:rsid w:val="0003179F"/>
    <w:rsid w:val="0003189C"/>
    <w:rsid w:val="0003190F"/>
    <w:rsid w:val="00031B77"/>
    <w:rsid w:val="00031C7A"/>
    <w:rsid w:val="00031CBE"/>
    <w:rsid w:val="00031E21"/>
    <w:rsid w:val="00031F76"/>
    <w:rsid w:val="00031FB0"/>
    <w:rsid w:val="00031FB5"/>
    <w:rsid w:val="00031FBE"/>
    <w:rsid w:val="00031FFD"/>
    <w:rsid w:val="00032005"/>
    <w:rsid w:val="00032093"/>
    <w:rsid w:val="00032120"/>
    <w:rsid w:val="000321A1"/>
    <w:rsid w:val="000326D5"/>
    <w:rsid w:val="0003274D"/>
    <w:rsid w:val="00032943"/>
    <w:rsid w:val="00032BA4"/>
    <w:rsid w:val="00032C3E"/>
    <w:rsid w:val="00032C90"/>
    <w:rsid w:val="00032E46"/>
    <w:rsid w:val="00033442"/>
    <w:rsid w:val="000336A2"/>
    <w:rsid w:val="00033705"/>
    <w:rsid w:val="000337E0"/>
    <w:rsid w:val="0003398D"/>
    <w:rsid w:val="00033B82"/>
    <w:rsid w:val="00033C09"/>
    <w:rsid w:val="00033E77"/>
    <w:rsid w:val="00033E86"/>
    <w:rsid w:val="000340F2"/>
    <w:rsid w:val="00034509"/>
    <w:rsid w:val="00034523"/>
    <w:rsid w:val="000345E0"/>
    <w:rsid w:val="00034625"/>
    <w:rsid w:val="00034830"/>
    <w:rsid w:val="00034898"/>
    <w:rsid w:val="000348F5"/>
    <w:rsid w:val="00034B2C"/>
    <w:rsid w:val="00034B9C"/>
    <w:rsid w:val="00034C5E"/>
    <w:rsid w:val="00034CB9"/>
    <w:rsid w:val="00034CDB"/>
    <w:rsid w:val="00034DB5"/>
    <w:rsid w:val="0003558D"/>
    <w:rsid w:val="000356C9"/>
    <w:rsid w:val="00035754"/>
    <w:rsid w:val="00035C58"/>
    <w:rsid w:val="00035CED"/>
    <w:rsid w:val="00035DCA"/>
    <w:rsid w:val="00035E48"/>
    <w:rsid w:val="00035F54"/>
    <w:rsid w:val="000360D4"/>
    <w:rsid w:val="00036158"/>
    <w:rsid w:val="00036436"/>
    <w:rsid w:val="00036437"/>
    <w:rsid w:val="000364B7"/>
    <w:rsid w:val="00036BD3"/>
    <w:rsid w:val="00036BD7"/>
    <w:rsid w:val="00036D86"/>
    <w:rsid w:val="00036DA7"/>
    <w:rsid w:val="00036E08"/>
    <w:rsid w:val="00036E99"/>
    <w:rsid w:val="00036F02"/>
    <w:rsid w:val="00036F86"/>
    <w:rsid w:val="00036F92"/>
    <w:rsid w:val="00037062"/>
    <w:rsid w:val="0003709F"/>
    <w:rsid w:val="00037178"/>
    <w:rsid w:val="000374A5"/>
    <w:rsid w:val="000375BF"/>
    <w:rsid w:val="00037658"/>
    <w:rsid w:val="00037896"/>
    <w:rsid w:val="0003793E"/>
    <w:rsid w:val="00037A81"/>
    <w:rsid w:val="00037B6E"/>
    <w:rsid w:val="00037BB9"/>
    <w:rsid w:val="00037BF7"/>
    <w:rsid w:val="00037E80"/>
    <w:rsid w:val="00037F24"/>
    <w:rsid w:val="0004004B"/>
    <w:rsid w:val="000400D6"/>
    <w:rsid w:val="00040159"/>
    <w:rsid w:val="000402A0"/>
    <w:rsid w:val="000407BB"/>
    <w:rsid w:val="0004083B"/>
    <w:rsid w:val="00040A59"/>
    <w:rsid w:val="00040B1C"/>
    <w:rsid w:val="00040BD0"/>
    <w:rsid w:val="00040D21"/>
    <w:rsid w:val="00040D40"/>
    <w:rsid w:val="00040D86"/>
    <w:rsid w:val="00040ED8"/>
    <w:rsid w:val="00040F7F"/>
    <w:rsid w:val="00040F87"/>
    <w:rsid w:val="00040FF6"/>
    <w:rsid w:val="00041219"/>
    <w:rsid w:val="00041372"/>
    <w:rsid w:val="000413A7"/>
    <w:rsid w:val="000414D5"/>
    <w:rsid w:val="00041524"/>
    <w:rsid w:val="0004160D"/>
    <w:rsid w:val="000416C2"/>
    <w:rsid w:val="000416DA"/>
    <w:rsid w:val="00041797"/>
    <w:rsid w:val="0004195D"/>
    <w:rsid w:val="000421EA"/>
    <w:rsid w:val="00042334"/>
    <w:rsid w:val="00042442"/>
    <w:rsid w:val="00042508"/>
    <w:rsid w:val="0004292F"/>
    <w:rsid w:val="000429A5"/>
    <w:rsid w:val="00042C8D"/>
    <w:rsid w:val="00042E35"/>
    <w:rsid w:val="00042F7D"/>
    <w:rsid w:val="00043011"/>
    <w:rsid w:val="0004311E"/>
    <w:rsid w:val="00043383"/>
    <w:rsid w:val="00043398"/>
    <w:rsid w:val="00043538"/>
    <w:rsid w:val="00043624"/>
    <w:rsid w:val="0004364C"/>
    <w:rsid w:val="000437A2"/>
    <w:rsid w:val="00043900"/>
    <w:rsid w:val="000439D8"/>
    <w:rsid w:val="000439DC"/>
    <w:rsid w:val="00043E5C"/>
    <w:rsid w:val="00044400"/>
    <w:rsid w:val="0004463F"/>
    <w:rsid w:val="00044681"/>
    <w:rsid w:val="000446D3"/>
    <w:rsid w:val="00044741"/>
    <w:rsid w:val="0004487F"/>
    <w:rsid w:val="000449D2"/>
    <w:rsid w:val="000449D7"/>
    <w:rsid w:val="00044A33"/>
    <w:rsid w:val="00044A77"/>
    <w:rsid w:val="00044D55"/>
    <w:rsid w:val="00044DE9"/>
    <w:rsid w:val="00044EDF"/>
    <w:rsid w:val="00045048"/>
    <w:rsid w:val="0004504F"/>
    <w:rsid w:val="0004507F"/>
    <w:rsid w:val="00045574"/>
    <w:rsid w:val="000456D0"/>
    <w:rsid w:val="000456F8"/>
    <w:rsid w:val="000458CA"/>
    <w:rsid w:val="00045D3D"/>
    <w:rsid w:val="00045D84"/>
    <w:rsid w:val="00045EAD"/>
    <w:rsid w:val="00045FA7"/>
    <w:rsid w:val="000463A3"/>
    <w:rsid w:val="00046700"/>
    <w:rsid w:val="00046899"/>
    <w:rsid w:val="00046A53"/>
    <w:rsid w:val="00046B4A"/>
    <w:rsid w:val="00046B7A"/>
    <w:rsid w:val="00046B7D"/>
    <w:rsid w:val="00047060"/>
    <w:rsid w:val="0004726C"/>
    <w:rsid w:val="000473B5"/>
    <w:rsid w:val="000474EF"/>
    <w:rsid w:val="0004776B"/>
    <w:rsid w:val="000477C5"/>
    <w:rsid w:val="00047926"/>
    <w:rsid w:val="00047FBF"/>
    <w:rsid w:val="0005002A"/>
    <w:rsid w:val="000500ED"/>
    <w:rsid w:val="000501AA"/>
    <w:rsid w:val="00050518"/>
    <w:rsid w:val="00050538"/>
    <w:rsid w:val="00050581"/>
    <w:rsid w:val="00050B4E"/>
    <w:rsid w:val="00050C20"/>
    <w:rsid w:val="00050D45"/>
    <w:rsid w:val="00050EA5"/>
    <w:rsid w:val="00050F26"/>
    <w:rsid w:val="00050F65"/>
    <w:rsid w:val="0005107D"/>
    <w:rsid w:val="00051429"/>
    <w:rsid w:val="00051466"/>
    <w:rsid w:val="000514A6"/>
    <w:rsid w:val="0005176D"/>
    <w:rsid w:val="00051A47"/>
    <w:rsid w:val="00051B91"/>
    <w:rsid w:val="00051F57"/>
    <w:rsid w:val="00052155"/>
    <w:rsid w:val="0005239E"/>
    <w:rsid w:val="00052488"/>
    <w:rsid w:val="000524BE"/>
    <w:rsid w:val="000524D7"/>
    <w:rsid w:val="000525D2"/>
    <w:rsid w:val="00052824"/>
    <w:rsid w:val="000528A6"/>
    <w:rsid w:val="00052A06"/>
    <w:rsid w:val="00052AE5"/>
    <w:rsid w:val="00052DD5"/>
    <w:rsid w:val="00052DE8"/>
    <w:rsid w:val="0005304D"/>
    <w:rsid w:val="0005306A"/>
    <w:rsid w:val="0005322E"/>
    <w:rsid w:val="000532AB"/>
    <w:rsid w:val="00053464"/>
    <w:rsid w:val="00053980"/>
    <w:rsid w:val="00054112"/>
    <w:rsid w:val="00054625"/>
    <w:rsid w:val="00054722"/>
    <w:rsid w:val="000547F5"/>
    <w:rsid w:val="0005482D"/>
    <w:rsid w:val="00054932"/>
    <w:rsid w:val="00054AE9"/>
    <w:rsid w:val="00054B84"/>
    <w:rsid w:val="00054D31"/>
    <w:rsid w:val="00054DA3"/>
    <w:rsid w:val="00054F17"/>
    <w:rsid w:val="00054F72"/>
    <w:rsid w:val="000550A3"/>
    <w:rsid w:val="000550DF"/>
    <w:rsid w:val="00055179"/>
    <w:rsid w:val="00055703"/>
    <w:rsid w:val="000557C3"/>
    <w:rsid w:val="00055A38"/>
    <w:rsid w:val="00055BA5"/>
    <w:rsid w:val="000560DC"/>
    <w:rsid w:val="00056123"/>
    <w:rsid w:val="00056332"/>
    <w:rsid w:val="000563FD"/>
    <w:rsid w:val="00056679"/>
    <w:rsid w:val="0005674E"/>
    <w:rsid w:val="000567C9"/>
    <w:rsid w:val="000568F7"/>
    <w:rsid w:val="00056C73"/>
    <w:rsid w:val="00056F52"/>
    <w:rsid w:val="00057011"/>
    <w:rsid w:val="000571D1"/>
    <w:rsid w:val="000572E3"/>
    <w:rsid w:val="00057471"/>
    <w:rsid w:val="0005793D"/>
    <w:rsid w:val="00057A29"/>
    <w:rsid w:val="00057AE1"/>
    <w:rsid w:val="00057B38"/>
    <w:rsid w:val="00057C7D"/>
    <w:rsid w:val="00057D79"/>
    <w:rsid w:val="00057DFB"/>
    <w:rsid w:val="00057E80"/>
    <w:rsid w:val="00057E8E"/>
    <w:rsid w:val="00060174"/>
    <w:rsid w:val="00060343"/>
    <w:rsid w:val="000603E6"/>
    <w:rsid w:val="00060495"/>
    <w:rsid w:val="000605DE"/>
    <w:rsid w:val="000606CB"/>
    <w:rsid w:val="0006091B"/>
    <w:rsid w:val="00060AB5"/>
    <w:rsid w:val="00060B69"/>
    <w:rsid w:val="00061140"/>
    <w:rsid w:val="00061182"/>
    <w:rsid w:val="000611AB"/>
    <w:rsid w:val="00061217"/>
    <w:rsid w:val="00061730"/>
    <w:rsid w:val="00061813"/>
    <w:rsid w:val="0006191E"/>
    <w:rsid w:val="00061940"/>
    <w:rsid w:val="00061A1E"/>
    <w:rsid w:val="00061C33"/>
    <w:rsid w:val="00061EC8"/>
    <w:rsid w:val="0006211B"/>
    <w:rsid w:val="0006213A"/>
    <w:rsid w:val="000622EC"/>
    <w:rsid w:val="00062319"/>
    <w:rsid w:val="00062413"/>
    <w:rsid w:val="00062495"/>
    <w:rsid w:val="00062637"/>
    <w:rsid w:val="000627E0"/>
    <w:rsid w:val="00062A57"/>
    <w:rsid w:val="00062A98"/>
    <w:rsid w:val="00062AA7"/>
    <w:rsid w:val="00062AFE"/>
    <w:rsid w:val="00062D68"/>
    <w:rsid w:val="00062E21"/>
    <w:rsid w:val="00062EE7"/>
    <w:rsid w:val="000631C7"/>
    <w:rsid w:val="000631E8"/>
    <w:rsid w:val="000632F5"/>
    <w:rsid w:val="000633EE"/>
    <w:rsid w:val="00063700"/>
    <w:rsid w:val="0006374B"/>
    <w:rsid w:val="00063844"/>
    <w:rsid w:val="00063B51"/>
    <w:rsid w:val="00063C40"/>
    <w:rsid w:val="00063C5C"/>
    <w:rsid w:val="00064156"/>
    <w:rsid w:val="000641AC"/>
    <w:rsid w:val="000646A8"/>
    <w:rsid w:val="00064AA8"/>
    <w:rsid w:val="00064C62"/>
    <w:rsid w:val="00064F9A"/>
    <w:rsid w:val="00064FA4"/>
    <w:rsid w:val="000651AA"/>
    <w:rsid w:val="000652F1"/>
    <w:rsid w:val="00065421"/>
    <w:rsid w:val="0006559D"/>
    <w:rsid w:val="000656BC"/>
    <w:rsid w:val="00065AE2"/>
    <w:rsid w:val="00065B24"/>
    <w:rsid w:val="00065D0A"/>
    <w:rsid w:val="00065E25"/>
    <w:rsid w:val="00065EE3"/>
    <w:rsid w:val="00065F71"/>
    <w:rsid w:val="000661C4"/>
    <w:rsid w:val="00066269"/>
    <w:rsid w:val="00066505"/>
    <w:rsid w:val="000666D5"/>
    <w:rsid w:val="00066827"/>
    <w:rsid w:val="00066909"/>
    <w:rsid w:val="00066948"/>
    <w:rsid w:val="00066E46"/>
    <w:rsid w:val="00066EA1"/>
    <w:rsid w:val="00067036"/>
    <w:rsid w:val="000670C7"/>
    <w:rsid w:val="000671F6"/>
    <w:rsid w:val="000672E5"/>
    <w:rsid w:val="000672F4"/>
    <w:rsid w:val="0006759A"/>
    <w:rsid w:val="000675BA"/>
    <w:rsid w:val="000676C2"/>
    <w:rsid w:val="0006799A"/>
    <w:rsid w:val="000703A9"/>
    <w:rsid w:val="00070805"/>
    <w:rsid w:val="00070906"/>
    <w:rsid w:val="00070922"/>
    <w:rsid w:val="00070979"/>
    <w:rsid w:val="000709B5"/>
    <w:rsid w:val="000709D6"/>
    <w:rsid w:val="00070B61"/>
    <w:rsid w:val="00070DAB"/>
    <w:rsid w:val="00070FE5"/>
    <w:rsid w:val="0007124C"/>
    <w:rsid w:val="0007139D"/>
    <w:rsid w:val="000713DB"/>
    <w:rsid w:val="000715C5"/>
    <w:rsid w:val="00071908"/>
    <w:rsid w:val="0007197F"/>
    <w:rsid w:val="00071A75"/>
    <w:rsid w:val="00071AF3"/>
    <w:rsid w:val="00071C16"/>
    <w:rsid w:val="00071C80"/>
    <w:rsid w:val="00071CCA"/>
    <w:rsid w:val="00071E2F"/>
    <w:rsid w:val="000720AF"/>
    <w:rsid w:val="0007228D"/>
    <w:rsid w:val="000723C6"/>
    <w:rsid w:val="00072615"/>
    <w:rsid w:val="0007273F"/>
    <w:rsid w:val="0007288D"/>
    <w:rsid w:val="00072B11"/>
    <w:rsid w:val="00072CD1"/>
    <w:rsid w:val="00073034"/>
    <w:rsid w:val="0007304C"/>
    <w:rsid w:val="00073103"/>
    <w:rsid w:val="00073364"/>
    <w:rsid w:val="000734B5"/>
    <w:rsid w:val="00073657"/>
    <w:rsid w:val="00073729"/>
    <w:rsid w:val="00073800"/>
    <w:rsid w:val="00073E05"/>
    <w:rsid w:val="00074016"/>
    <w:rsid w:val="000740CB"/>
    <w:rsid w:val="0007417E"/>
    <w:rsid w:val="0007453B"/>
    <w:rsid w:val="0007453F"/>
    <w:rsid w:val="000746FF"/>
    <w:rsid w:val="00074845"/>
    <w:rsid w:val="0007498D"/>
    <w:rsid w:val="00074AD7"/>
    <w:rsid w:val="00074D43"/>
    <w:rsid w:val="00074E1A"/>
    <w:rsid w:val="00074F11"/>
    <w:rsid w:val="000752A2"/>
    <w:rsid w:val="00075433"/>
    <w:rsid w:val="00075562"/>
    <w:rsid w:val="000755F2"/>
    <w:rsid w:val="000757C5"/>
    <w:rsid w:val="00075981"/>
    <w:rsid w:val="00075996"/>
    <w:rsid w:val="00075A8B"/>
    <w:rsid w:val="00075AB7"/>
    <w:rsid w:val="00075B1C"/>
    <w:rsid w:val="00075C88"/>
    <w:rsid w:val="00075E0C"/>
    <w:rsid w:val="00075FEB"/>
    <w:rsid w:val="000760B1"/>
    <w:rsid w:val="000761DC"/>
    <w:rsid w:val="00076317"/>
    <w:rsid w:val="0007649F"/>
    <w:rsid w:val="000764F4"/>
    <w:rsid w:val="000767A0"/>
    <w:rsid w:val="000767C7"/>
    <w:rsid w:val="000768A7"/>
    <w:rsid w:val="00076ABA"/>
    <w:rsid w:val="00076DA7"/>
    <w:rsid w:val="00076EC8"/>
    <w:rsid w:val="00076F68"/>
    <w:rsid w:val="000772F8"/>
    <w:rsid w:val="000774EA"/>
    <w:rsid w:val="0007750A"/>
    <w:rsid w:val="0007764B"/>
    <w:rsid w:val="000778F8"/>
    <w:rsid w:val="00077952"/>
    <w:rsid w:val="00077A78"/>
    <w:rsid w:val="00077B94"/>
    <w:rsid w:val="00077C8F"/>
    <w:rsid w:val="00077E43"/>
    <w:rsid w:val="00077F9C"/>
    <w:rsid w:val="00080362"/>
    <w:rsid w:val="0008040B"/>
    <w:rsid w:val="0008074D"/>
    <w:rsid w:val="00080797"/>
    <w:rsid w:val="000808EC"/>
    <w:rsid w:val="00080906"/>
    <w:rsid w:val="00080961"/>
    <w:rsid w:val="00080CC6"/>
    <w:rsid w:val="00080CE7"/>
    <w:rsid w:val="00080DE0"/>
    <w:rsid w:val="00081319"/>
    <w:rsid w:val="0008137A"/>
    <w:rsid w:val="000814A8"/>
    <w:rsid w:val="0008180F"/>
    <w:rsid w:val="000819D9"/>
    <w:rsid w:val="00081A60"/>
    <w:rsid w:val="00081A7D"/>
    <w:rsid w:val="00081B84"/>
    <w:rsid w:val="00081BCF"/>
    <w:rsid w:val="00081D10"/>
    <w:rsid w:val="00081D79"/>
    <w:rsid w:val="00081E27"/>
    <w:rsid w:val="00081E5A"/>
    <w:rsid w:val="00081EAA"/>
    <w:rsid w:val="0008245D"/>
    <w:rsid w:val="00082556"/>
    <w:rsid w:val="00082647"/>
    <w:rsid w:val="00082A15"/>
    <w:rsid w:val="00082BA2"/>
    <w:rsid w:val="00082BFE"/>
    <w:rsid w:val="00082C3F"/>
    <w:rsid w:val="00082CDF"/>
    <w:rsid w:val="000835AA"/>
    <w:rsid w:val="0008374E"/>
    <w:rsid w:val="000838CE"/>
    <w:rsid w:val="0008391A"/>
    <w:rsid w:val="00083928"/>
    <w:rsid w:val="00083AB1"/>
    <w:rsid w:val="00083AEA"/>
    <w:rsid w:val="00083C02"/>
    <w:rsid w:val="00083F8C"/>
    <w:rsid w:val="000841F5"/>
    <w:rsid w:val="00084433"/>
    <w:rsid w:val="00084475"/>
    <w:rsid w:val="0008471D"/>
    <w:rsid w:val="000848E2"/>
    <w:rsid w:val="00084C8E"/>
    <w:rsid w:val="00084D7B"/>
    <w:rsid w:val="0008542D"/>
    <w:rsid w:val="0008547C"/>
    <w:rsid w:val="000855B0"/>
    <w:rsid w:val="000858B2"/>
    <w:rsid w:val="00085903"/>
    <w:rsid w:val="00085A3C"/>
    <w:rsid w:val="00085A72"/>
    <w:rsid w:val="00085B50"/>
    <w:rsid w:val="00085C74"/>
    <w:rsid w:val="00085CF3"/>
    <w:rsid w:val="000861BE"/>
    <w:rsid w:val="000862F4"/>
    <w:rsid w:val="000863B5"/>
    <w:rsid w:val="00086547"/>
    <w:rsid w:val="000865BD"/>
    <w:rsid w:val="00086680"/>
    <w:rsid w:val="00086781"/>
    <w:rsid w:val="000868DE"/>
    <w:rsid w:val="00086A35"/>
    <w:rsid w:val="00086C8C"/>
    <w:rsid w:val="00086D7E"/>
    <w:rsid w:val="00086F6F"/>
    <w:rsid w:val="00087078"/>
    <w:rsid w:val="00087391"/>
    <w:rsid w:val="0008750C"/>
    <w:rsid w:val="00087634"/>
    <w:rsid w:val="0008783E"/>
    <w:rsid w:val="00087E86"/>
    <w:rsid w:val="00087FC2"/>
    <w:rsid w:val="00090004"/>
    <w:rsid w:val="000900AA"/>
    <w:rsid w:val="0009013D"/>
    <w:rsid w:val="0009015D"/>
    <w:rsid w:val="00090238"/>
    <w:rsid w:val="0009028E"/>
    <w:rsid w:val="000902C4"/>
    <w:rsid w:val="000902C8"/>
    <w:rsid w:val="000904AF"/>
    <w:rsid w:val="0009053B"/>
    <w:rsid w:val="000905BD"/>
    <w:rsid w:val="00090723"/>
    <w:rsid w:val="0009073D"/>
    <w:rsid w:val="0009094B"/>
    <w:rsid w:val="00090AD9"/>
    <w:rsid w:val="00090EAF"/>
    <w:rsid w:val="00090F43"/>
    <w:rsid w:val="00091062"/>
    <w:rsid w:val="0009126A"/>
    <w:rsid w:val="000912AD"/>
    <w:rsid w:val="00091529"/>
    <w:rsid w:val="000916DB"/>
    <w:rsid w:val="00091720"/>
    <w:rsid w:val="000917CD"/>
    <w:rsid w:val="00091824"/>
    <w:rsid w:val="0009187D"/>
    <w:rsid w:val="000918F5"/>
    <w:rsid w:val="00091B84"/>
    <w:rsid w:val="00091BB0"/>
    <w:rsid w:val="00091DF2"/>
    <w:rsid w:val="00091ECC"/>
    <w:rsid w:val="00092213"/>
    <w:rsid w:val="00092371"/>
    <w:rsid w:val="000923D0"/>
    <w:rsid w:val="00092436"/>
    <w:rsid w:val="0009244C"/>
    <w:rsid w:val="000928F4"/>
    <w:rsid w:val="00092AA0"/>
    <w:rsid w:val="00092C3B"/>
    <w:rsid w:val="00092DA2"/>
    <w:rsid w:val="00092DA3"/>
    <w:rsid w:val="00092DC5"/>
    <w:rsid w:val="00092F3D"/>
    <w:rsid w:val="000937D6"/>
    <w:rsid w:val="00093961"/>
    <w:rsid w:val="000939CD"/>
    <w:rsid w:val="00093A35"/>
    <w:rsid w:val="00093F6B"/>
    <w:rsid w:val="00094045"/>
    <w:rsid w:val="0009407B"/>
    <w:rsid w:val="000940F9"/>
    <w:rsid w:val="00094135"/>
    <w:rsid w:val="00094392"/>
    <w:rsid w:val="00094631"/>
    <w:rsid w:val="0009474D"/>
    <w:rsid w:val="00094789"/>
    <w:rsid w:val="00094C98"/>
    <w:rsid w:val="00094DAB"/>
    <w:rsid w:val="00095186"/>
    <w:rsid w:val="000953DC"/>
    <w:rsid w:val="000953DE"/>
    <w:rsid w:val="00095555"/>
    <w:rsid w:val="00095732"/>
    <w:rsid w:val="00095A35"/>
    <w:rsid w:val="00095A3E"/>
    <w:rsid w:val="00095DB5"/>
    <w:rsid w:val="00095DCC"/>
    <w:rsid w:val="00095FF6"/>
    <w:rsid w:val="00096066"/>
    <w:rsid w:val="0009609A"/>
    <w:rsid w:val="000961A0"/>
    <w:rsid w:val="000961F6"/>
    <w:rsid w:val="000964D0"/>
    <w:rsid w:val="00096B44"/>
    <w:rsid w:val="00096BAB"/>
    <w:rsid w:val="00096CA4"/>
    <w:rsid w:val="00096D9B"/>
    <w:rsid w:val="00096FDC"/>
    <w:rsid w:val="00097074"/>
    <w:rsid w:val="00097228"/>
    <w:rsid w:val="000972D9"/>
    <w:rsid w:val="000974B8"/>
    <w:rsid w:val="000975AA"/>
    <w:rsid w:val="000976A2"/>
    <w:rsid w:val="0009770F"/>
    <w:rsid w:val="0009788D"/>
    <w:rsid w:val="000979D1"/>
    <w:rsid w:val="00097AC9"/>
    <w:rsid w:val="00097B7B"/>
    <w:rsid w:val="000A0380"/>
    <w:rsid w:val="000A05CF"/>
    <w:rsid w:val="000A0617"/>
    <w:rsid w:val="000A08BE"/>
    <w:rsid w:val="000A0B2B"/>
    <w:rsid w:val="000A0B6E"/>
    <w:rsid w:val="000A0C93"/>
    <w:rsid w:val="000A0CC6"/>
    <w:rsid w:val="000A0DC2"/>
    <w:rsid w:val="000A0E32"/>
    <w:rsid w:val="000A1224"/>
    <w:rsid w:val="000A13AD"/>
    <w:rsid w:val="000A1435"/>
    <w:rsid w:val="000A14D1"/>
    <w:rsid w:val="000A1974"/>
    <w:rsid w:val="000A1978"/>
    <w:rsid w:val="000A1CD6"/>
    <w:rsid w:val="000A1E0B"/>
    <w:rsid w:val="000A1E71"/>
    <w:rsid w:val="000A1E95"/>
    <w:rsid w:val="000A1F03"/>
    <w:rsid w:val="000A1F92"/>
    <w:rsid w:val="000A203C"/>
    <w:rsid w:val="000A22E6"/>
    <w:rsid w:val="000A231D"/>
    <w:rsid w:val="000A2471"/>
    <w:rsid w:val="000A2476"/>
    <w:rsid w:val="000A24B2"/>
    <w:rsid w:val="000A24F4"/>
    <w:rsid w:val="000A2503"/>
    <w:rsid w:val="000A25FA"/>
    <w:rsid w:val="000A2921"/>
    <w:rsid w:val="000A2AAF"/>
    <w:rsid w:val="000A2BD0"/>
    <w:rsid w:val="000A2C9D"/>
    <w:rsid w:val="000A2DFD"/>
    <w:rsid w:val="000A2EED"/>
    <w:rsid w:val="000A2F7F"/>
    <w:rsid w:val="000A2FB6"/>
    <w:rsid w:val="000A32EC"/>
    <w:rsid w:val="000A3415"/>
    <w:rsid w:val="000A351E"/>
    <w:rsid w:val="000A3779"/>
    <w:rsid w:val="000A39D8"/>
    <w:rsid w:val="000A3B11"/>
    <w:rsid w:val="000A3B74"/>
    <w:rsid w:val="000A3BF5"/>
    <w:rsid w:val="000A3D8B"/>
    <w:rsid w:val="000A3DC9"/>
    <w:rsid w:val="000A3E98"/>
    <w:rsid w:val="000A3F02"/>
    <w:rsid w:val="000A4184"/>
    <w:rsid w:val="000A41E0"/>
    <w:rsid w:val="000A437E"/>
    <w:rsid w:val="000A446D"/>
    <w:rsid w:val="000A4912"/>
    <w:rsid w:val="000A4978"/>
    <w:rsid w:val="000A49D4"/>
    <w:rsid w:val="000A4A22"/>
    <w:rsid w:val="000A4A7E"/>
    <w:rsid w:val="000A4DA3"/>
    <w:rsid w:val="000A4DEB"/>
    <w:rsid w:val="000A4FE9"/>
    <w:rsid w:val="000A50C7"/>
    <w:rsid w:val="000A51CE"/>
    <w:rsid w:val="000A5256"/>
    <w:rsid w:val="000A52EF"/>
    <w:rsid w:val="000A5325"/>
    <w:rsid w:val="000A5640"/>
    <w:rsid w:val="000A5704"/>
    <w:rsid w:val="000A588B"/>
    <w:rsid w:val="000A592D"/>
    <w:rsid w:val="000A592E"/>
    <w:rsid w:val="000A597B"/>
    <w:rsid w:val="000A59A5"/>
    <w:rsid w:val="000A59BA"/>
    <w:rsid w:val="000A5B15"/>
    <w:rsid w:val="000A5D26"/>
    <w:rsid w:val="000A5D5E"/>
    <w:rsid w:val="000A5F6E"/>
    <w:rsid w:val="000A602A"/>
    <w:rsid w:val="000A60A8"/>
    <w:rsid w:val="000A638B"/>
    <w:rsid w:val="000A658C"/>
    <w:rsid w:val="000A6764"/>
    <w:rsid w:val="000A6809"/>
    <w:rsid w:val="000A6A2A"/>
    <w:rsid w:val="000A6B75"/>
    <w:rsid w:val="000A6BCC"/>
    <w:rsid w:val="000A6CC5"/>
    <w:rsid w:val="000A6E57"/>
    <w:rsid w:val="000A7099"/>
    <w:rsid w:val="000A7209"/>
    <w:rsid w:val="000A721C"/>
    <w:rsid w:val="000A756C"/>
    <w:rsid w:val="000A757E"/>
    <w:rsid w:val="000A786C"/>
    <w:rsid w:val="000A795C"/>
    <w:rsid w:val="000A7BDC"/>
    <w:rsid w:val="000A7CA8"/>
    <w:rsid w:val="000A7D2C"/>
    <w:rsid w:val="000B0060"/>
    <w:rsid w:val="000B02D7"/>
    <w:rsid w:val="000B05AF"/>
    <w:rsid w:val="000B0612"/>
    <w:rsid w:val="000B08BE"/>
    <w:rsid w:val="000B0A5A"/>
    <w:rsid w:val="000B0B52"/>
    <w:rsid w:val="000B0D85"/>
    <w:rsid w:val="000B0E60"/>
    <w:rsid w:val="000B0EDF"/>
    <w:rsid w:val="000B0FB3"/>
    <w:rsid w:val="000B1249"/>
    <w:rsid w:val="000B12AF"/>
    <w:rsid w:val="000B13D4"/>
    <w:rsid w:val="000B1533"/>
    <w:rsid w:val="000B19E2"/>
    <w:rsid w:val="000B1A8E"/>
    <w:rsid w:val="000B1B6B"/>
    <w:rsid w:val="000B1CAD"/>
    <w:rsid w:val="000B1E3F"/>
    <w:rsid w:val="000B1FBB"/>
    <w:rsid w:val="000B22ED"/>
    <w:rsid w:val="000B242B"/>
    <w:rsid w:val="000B2803"/>
    <w:rsid w:val="000B28B1"/>
    <w:rsid w:val="000B29B6"/>
    <w:rsid w:val="000B2A28"/>
    <w:rsid w:val="000B2A93"/>
    <w:rsid w:val="000B2C89"/>
    <w:rsid w:val="000B2CE9"/>
    <w:rsid w:val="000B2F0D"/>
    <w:rsid w:val="000B32ED"/>
    <w:rsid w:val="000B35E1"/>
    <w:rsid w:val="000B36CE"/>
    <w:rsid w:val="000B3720"/>
    <w:rsid w:val="000B37A3"/>
    <w:rsid w:val="000B3875"/>
    <w:rsid w:val="000B3A62"/>
    <w:rsid w:val="000B3C7A"/>
    <w:rsid w:val="000B3CCF"/>
    <w:rsid w:val="000B3D59"/>
    <w:rsid w:val="000B3DCF"/>
    <w:rsid w:val="000B4434"/>
    <w:rsid w:val="000B4723"/>
    <w:rsid w:val="000B482F"/>
    <w:rsid w:val="000B48E8"/>
    <w:rsid w:val="000B4930"/>
    <w:rsid w:val="000B4A4F"/>
    <w:rsid w:val="000B4A50"/>
    <w:rsid w:val="000B4E49"/>
    <w:rsid w:val="000B4E8C"/>
    <w:rsid w:val="000B4F78"/>
    <w:rsid w:val="000B52A1"/>
    <w:rsid w:val="000B5327"/>
    <w:rsid w:val="000B5484"/>
    <w:rsid w:val="000B585A"/>
    <w:rsid w:val="000B5963"/>
    <w:rsid w:val="000B5966"/>
    <w:rsid w:val="000B59C3"/>
    <w:rsid w:val="000B5BDD"/>
    <w:rsid w:val="000B5DFA"/>
    <w:rsid w:val="000B5EA1"/>
    <w:rsid w:val="000B606D"/>
    <w:rsid w:val="000B60A4"/>
    <w:rsid w:val="000B6191"/>
    <w:rsid w:val="000B61A6"/>
    <w:rsid w:val="000B634F"/>
    <w:rsid w:val="000B6444"/>
    <w:rsid w:val="000B65DE"/>
    <w:rsid w:val="000B6865"/>
    <w:rsid w:val="000B6905"/>
    <w:rsid w:val="000B6963"/>
    <w:rsid w:val="000B6A41"/>
    <w:rsid w:val="000B6AC3"/>
    <w:rsid w:val="000B6B67"/>
    <w:rsid w:val="000B6B89"/>
    <w:rsid w:val="000B6C81"/>
    <w:rsid w:val="000B6CE0"/>
    <w:rsid w:val="000B6D4D"/>
    <w:rsid w:val="000B6FE1"/>
    <w:rsid w:val="000B70B5"/>
    <w:rsid w:val="000B72BE"/>
    <w:rsid w:val="000B732E"/>
    <w:rsid w:val="000B73B5"/>
    <w:rsid w:val="000B74AA"/>
    <w:rsid w:val="000B757A"/>
    <w:rsid w:val="000B7B3F"/>
    <w:rsid w:val="000B7F29"/>
    <w:rsid w:val="000C0002"/>
    <w:rsid w:val="000C0089"/>
    <w:rsid w:val="000C00A7"/>
    <w:rsid w:val="000C0505"/>
    <w:rsid w:val="000C0514"/>
    <w:rsid w:val="000C0531"/>
    <w:rsid w:val="000C062A"/>
    <w:rsid w:val="000C0AA9"/>
    <w:rsid w:val="000C0B97"/>
    <w:rsid w:val="000C0C21"/>
    <w:rsid w:val="000C0CD3"/>
    <w:rsid w:val="000C0CD4"/>
    <w:rsid w:val="000C0D93"/>
    <w:rsid w:val="000C0DB9"/>
    <w:rsid w:val="000C0E44"/>
    <w:rsid w:val="000C0F9D"/>
    <w:rsid w:val="000C1239"/>
    <w:rsid w:val="000C1259"/>
    <w:rsid w:val="000C1518"/>
    <w:rsid w:val="000C17B1"/>
    <w:rsid w:val="000C1B8E"/>
    <w:rsid w:val="000C1ECD"/>
    <w:rsid w:val="000C1EFF"/>
    <w:rsid w:val="000C1F82"/>
    <w:rsid w:val="000C21A7"/>
    <w:rsid w:val="000C234D"/>
    <w:rsid w:val="000C24FB"/>
    <w:rsid w:val="000C266A"/>
    <w:rsid w:val="000C2783"/>
    <w:rsid w:val="000C29F4"/>
    <w:rsid w:val="000C2F40"/>
    <w:rsid w:val="000C3025"/>
    <w:rsid w:val="000C309F"/>
    <w:rsid w:val="000C31D4"/>
    <w:rsid w:val="000C3331"/>
    <w:rsid w:val="000C3351"/>
    <w:rsid w:val="000C3407"/>
    <w:rsid w:val="000C35E8"/>
    <w:rsid w:val="000C363C"/>
    <w:rsid w:val="000C374F"/>
    <w:rsid w:val="000C38AB"/>
    <w:rsid w:val="000C38FE"/>
    <w:rsid w:val="000C395D"/>
    <w:rsid w:val="000C3A28"/>
    <w:rsid w:val="000C3B65"/>
    <w:rsid w:val="000C3CEA"/>
    <w:rsid w:val="000C3D5F"/>
    <w:rsid w:val="000C3DEF"/>
    <w:rsid w:val="000C40F8"/>
    <w:rsid w:val="000C4136"/>
    <w:rsid w:val="000C4399"/>
    <w:rsid w:val="000C474B"/>
    <w:rsid w:val="000C47A0"/>
    <w:rsid w:val="000C490A"/>
    <w:rsid w:val="000C4967"/>
    <w:rsid w:val="000C4C29"/>
    <w:rsid w:val="000C4CA9"/>
    <w:rsid w:val="000C4DC2"/>
    <w:rsid w:val="000C4FC9"/>
    <w:rsid w:val="000C4FE9"/>
    <w:rsid w:val="000C50C7"/>
    <w:rsid w:val="000C50DA"/>
    <w:rsid w:val="000C5323"/>
    <w:rsid w:val="000C5444"/>
    <w:rsid w:val="000C5B1B"/>
    <w:rsid w:val="000C5BA3"/>
    <w:rsid w:val="000C5BBA"/>
    <w:rsid w:val="000C5E62"/>
    <w:rsid w:val="000C63A6"/>
    <w:rsid w:val="000C6408"/>
    <w:rsid w:val="000C648B"/>
    <w:rsid w:val="000C6491"/>
    <w:rsid w:val="000C64E4"/>
    <w:rsid w:val="000C664E"/>
    <w:rsid w:val="000C66C4"/>
    <w:rsid w:val="000C6A7E"/>
    <w:rsid w:val="000C6AEA"/>
    <w:rsid w:val="000C6AEF"/>
    <w:rsid w:val="000C6C0B"/>
    <w:rsid w:val="000C6C1C"/>
    <w:rsid w:val="000C6C32"/>
    <w:rsid w:val="000C6D10"/>
    <w:rsid w:val="000C6E4F"/>
    <w:rsid w:val="000C6F10"/>
    <w:rsid w:val="000C6F33"/>
    <w:rsid w:val="000C7277"/>
    <w:rsid w:val="000C728B"/>
    <w:rsid w:val="000C7292"/>
    <w:rsid w:val="000C762B"/>
    <w:rsid w:val="000C7635"/>
    <w:rsid w:val="000C7777"/>
    <w:rsid w:val="000C7807"/>
    <w:rsid w:val="000C7A10"/>
    <w:rsid w:val="000C7B61"/>
    <w:rsid w:val="000C7D27"/>
    <w:rsid w:val="000C7FA9"/>
    <w:rsid w:val="000D008E"/>
    <w:rsid w:val="000D00BA"/>
    <w:rsid w:val="000D01FA"/>
    <w:rsid w:val="000D05CA"/>
    <w:rsid w:val="000D084F"/>
    <w:rsid w:val="000D0942"/>
    <w:rsid w:val="000D0988"/>
    <w:rsid w:val="000D0B87"/>
    <w:rsid w:val="000D0C47"/>
    <w:rsid w:val="000D0D98"/>
    <w:rsid w:val="000D0EE1"/>
    <w:rsid w:val="000D1131"/>
    <w:rsid w:val="000D12F1"/>
    <w:rsid w:val="000D1306"/>
    <w:rsid w:val="000D13AA"/>
    <w:rsid w:val="000D1401"/>
    <w:rsid w:val="000D154E"/>
    <w:rsid w:val="000D15B2"/>
    <w:rsid w:val="000D176F"/>
    <w:rsid w:val="000D194F"/>
    <w:rsid w:val="000D1961"/>
    <w:rsid w:val="000D1AB3"/>
    <w:rsid w:val="000D1BFC"/>
    <w:rsid w:val="000D1C27"/>
    <w:rsid w:val="000D1D0A"/>
    <w:rsid w:val="000D1D4D"/>
    <w:rsid w:val="000D1D5E"/>
    <w:rsid w:val="000D1D70"/>
    <w:rsid w:val="000D1FFA"/>
    <w:rsid w:val="000D2147"/>
    <w:rsid w:val="000D25A2"/>
    <w:rsid w:val="000D278C"/>
    <w:rsid w:val="000D27EB"/>
    <w:rsid w:val="000D2871"/>
    <w:rsid w:val="000D2933"/>
    <w:rsid w:val="000D298F"/>
    <w:rsid w:val="000D2A97"/>
    <w:rsid w:val="000D2B2D"/>
    <w:rsid w:val="000D2B32"/>
    <w:rsid w:val="000D2BEC"/>
    <w:rsid w:val="000D2D1A"/>
    <w:rsid w:val="000D2D82"/>
    <w:rsid w:val="000D3283"/>
    <w:rsid w:val="000D33CD"/>
    <w:rsid w:val="000D352B"/>
    <w:rsid w:val="000D3573"/>
    <w:rsid w:val="000D35E5"/>
    <w:rsid w:val="000D362B"/>
    <w:rsid w:val="000D38C6"/>
    <w:rsid w:val="000D3A79"/>
    <w:rsid w:val="000D3AF3"/>
    <w:rsid w:val="000D40E3"/>
    <w:rsid w:val="000D420B"/>
    <w:rsid w:val="000D4581"/>
    <w:rsid w:val="000D4787"/>
    <w:rsid w:val="000D4945"/>
    <w:rsid w:val="000D4A3B"/>
    <w:rsid w:val="000D4C0B"/>
    <w:rsid w:val="000D4C4F"/>
    <w:rsid w:val="000D4FBA"/>
    <w:rsid w:val="000D50B5"/>
    <w:rsid w:val="000D525A"/>
    <w:rsid w:val="000D537C"/>
    <w:rsid w:val="000D56CC"/>
    <w:rsid w:val="000D589D"/>
    <w:rsid w:val="000D5931"/>
    <w:rsid w:val="000D59AF"/>
    <w:rsid w:val="000D5B17"/>
    <w:rsid w:val="000D5BD1"/>
    <w:rsid w:val="000D5DB3"/>
    <w:rsid w:val="000D5F96"/>
    <w:rsid w:val="000D6256"/>
    <w:rsid w:val="000D6521"/>
    <w:rsid w:val="000D664F"/>
    <w:rsid w:val="000D6930"/>
    <w:rsid w:val="000D695B"/>
    <w:rsid w:val="000D6D5F"/>
    <w:rsid w:val="000D6D7B"/>
    <w:rsid w:val="000D6E37"/>
    <w:rsid w:val="000D6F73"/>
    <w:rsid w:val="000D724D"/>
    <w:rsid w:val="000D72AE"/>
    <w:rsid w:val="000D74A5"/>
    <w:rsid w:val="000D7595"/>
    <w:rsid w:val="000D7AA4"/>
    <w:rsid w:val="000D7B91"/>
    <w:rsid w:val="000D7C14"/>
    <w:rsid w:val="000D7CC6"/>
    <w:rsid w:val="000D7E9E"/>
    <w:rsid w:val="000D7EF4"/>
    <w:rsid w:val="000D7F0C"/>
    <w:rsid w:val="000D7F5E"/>
    <w:rsid w:val="000E00CC"/>
    <w:rsid w:val="000E02B5"/>
    <w:rsid w:val="000E05FE"/>
    <w:rsid w:val="000E09E1"/>
    <w:rsid w:val="000E0C09"/>
    <w:rsid w:val="000E0FD1"/>
    <w:rsid w:val="000E110C"/>
    <w:rsid w:val="000E1187"/>
    <w:rsid w:val="000E11B4"/>
    <w:rsid w:val="000E1360"/>
    <w:rsid w:val="000E13C1"/>
    <w:rsid w:val="000E1436"/>
    <w:rsid w:val="000E15B2"/>
    <w:rsid w:val="000E1642"/>
    <w:rsid w:val="000E173C"/>
    <w:rsid w:val="000E175B"/>
    <w:rsid w:val="000E1896"/>
    <w:rsid w:val="000E1995"/>
    <w:rsid w:val="000E1B2F"/>
    <w:rsid w:val="000E1BEA"/>
    <w:rsid w:val="000E228A"/>
    <w:rsid w:val="000E22FB"/>
    <w:rsid w:val="000E23A8"/>
    <w:rsid w:val="000E2655"/>
    <w:rsid w:val="000E2823"/>
    <w:rsid w:val="000E29DB"/>
    <w:rsid w:val="000E2D12"/>
    <w:rsid w:val="000E2D22"/>
    <w:rsid w:val="000E2DBD"/>
    <w:rsid w:val="000E2DD5"/>
    <w:rsid w:val="000E2F52"/>
    <w:rsid w:val="000E3077"/>
    <w:rsid w:val="000E30F7"/>
    <w:rsid w:val="000E31F9"/>
    <w:rsid w:val="000E35C9"/>
    <w:rsid w:val="000E36DA"/>
    <w:rsid w:val="000E39B6"/>
    <w:rsid w:val="000E3C24"/>
    <w:rsid w:val="000E3C68"/>
    <w:rsid w:val="000E3C76"/>
    <w:rsid w:val="000E3D57"/>
    <w:rsid w:val="000E3D82"/>
    <w:rsid w:val="000E3D89"/>
    <w:rsid w:val="000E3F11"/>
    <w:rsid w:val="000E40AD"/>
    <w:rsid w:val="000E4194"/>
    <w:rsid w:val="000E4199"/>
    <w:rsid w:val="000E41F3"/>
    <w:rsid w:val="000E4511"/>
    <w:rsid w:val="000E45C4"/>
    <w:rsid w:val="000E4731"/>
    <w:rsid w:val="000E478D"/>
    <w:rsid w:val="000E4A4A"/>
    <w:rsid w:val="000E4A7B"/>
    <w:rsid w:val="000E4B13"/>
    <w:rsid w:val="000E4BAB"/>
    <w:rsid w:val="000E4BAC"/>
    <w:rsid w:val="000E4BFE"/>
    <w:rsid w:val="000E4E3F"/>
    <w:rsid w:val="000E4F1B"/>
    <w:rsid w:val="000E4FC6"/>
    <w:rsid w:val="000E5094"/>
    <w:rsid w:val="000E5230"/>
    <w:rsid w:val="000E53BE"/>
    <w:rsid w:val="000E548E"/>
    <w:rsid w:val="000E5A66"/>
    <w:rsid w:val="000E5C22"/>
    <w:rsid w:val="000E5D88"/>
    <w:rsid w:val="000E5EAC"/>
    <w:rsid w:val="000E5F95"/>
    <w:rsid w:val="000E61B5"/>
    <w:rsid w:val="000E629D"/>
    <w:rsid w:val="000E63B4"/>
    <w:rsid w:val="000E6497"/>
    <w:rsid w:val="000E64A6"/>
    <w:rsid w:val="000E6745"/>
    <w:rsid w:val="000E675E"/>
    <w:rsid w:val="000E6822"/>
    <w:rsid w:val="000E6838"/>
    <w:rsid w:val="000E6CD2"/>
    <w:rsid w:val="000E6D40"/>
    <w:rsid w:val="000E6DDB"/>
    <w:rsid w:val="000E7190"/>
    <w:rsid w:val="000E71E0"/>
    <w:rsid w:val="000E7540"/>
    <w:rsid w:val="000E77EA"/>
    <w:rsid w:val="000E785B"/>
    <w:rsid w:val="000E7895"/>
    <w:rsid w:val="000E7945"/>
    <w:rsid w:val="000E7B11"/>
    <w:rsid w:val="000E7B80"/>
    <w:rsid w:val="000E7BDD"/>
    <w:rsid w:val="000E7C2C"/>
    <w:rsid w:val="000E7E32"/>
    <w:rsid w:val="000F0106"/>
    <w:rsid w:val="000F0386"/>
    <w:rsid w:val="000F0649"/>
    <w:rsid w:val="000F075C"/>
    <w:rsid w:val="000F07AE"/>
    <w:rsid w:val="000F0803"/>
    <w:rsid w:val="000F0B15"/>
    <w:rsid w:val="000F0B3B"/>
    <w:rsid w:val="000F0BD4"/>
    <w:rsid w:val="000F0C39"/>
    <w:rsid w:val="000F0D24"/>
    <w:rsid w:val="000F0E2B"/>
    <w:rsid w:val="000F0E2F"/>
    <w:rsid w:val="000F0F9B"/>
    <w:rsid w:val="000F1122"/>
    <w:rsid w:val="000F1147"/>
    <w:rsid w:val="000F1177"/>
    <w:rsid w:val="000F1258"/>
    <w:rsid w:val="000F137E"/>
    <w:rsid w:val="000F13AB"/>
    <w:rsid w:val="000F150D"/>
    <w:rsid w:val="000F184B"/>
    <w:rsid w:val="000F1871"/>
    <w:rsid w:val="000F1889"/>
    <w:rsid w:val="000F198C"/>
    <w:rsid w:val="000F19F2"/>
    <w:rsid w:val="000F1A09"/>
    <w:rsid w:val="000F1DC8"/>
    <w:rsid w:val="000F1F3D"/>
    <w:rsid w:val="000F1F5C"/>
    <w:rsid w:val="000F20A1"/>
    <w:rsid w:val="000F20F5"/>
    <w:rsid w:val="000F2442"/>
    <w:rsid w:val="000F25F7"/>
    <w:rsid w:val="000F2637"/>
    <w:rsid w:val="000F26DE"/>
    <w:rsid w:val="000F271C"/>
    <w:rsid w:val="000F28D1"/>
    <w:rsid w:val="000F2A13"/>
    <w:rsid w:val="000F2A8F"/>
    <w:rsid w:val="000F2C65"/>
    <w:rsid w:val="000F2D3B"/>
    <w:rsid w:val="000F2FA5"/>
    <w:rsid w:val="000F30B6"/>
    <w:rsid w:val="000F30C6"/>
    <w:rsid w:val="000F33A1"/>
    <w:rsid w:val="000F3917"/>
    <w:rsid w:val="000F3AA5"/>
    <w:rsid w:val="000F3B0C"/>
    <w:rsid w:val="000F3B95"/>
    <w:rsid w:val="000F3DDD"/>
    <w:rsid w:val="000F3E33"/>
    <w:rsid w:val="000F403A"/>
    <w:rsid w:val="000F4054"/>
    <w:rsid w:val="000F4072"/>
    <w:rsid w:val="000F4084"/>
    <w:rsid w:val="000F428F"/>
    <w:rsid w:val="000F430C"/>
    <w:rsid w:val="000F4644"/>
    <w:rsid w:val="000F49BA"/>
    <w:rsid w:val="000F4EEB"/>
    <w:rsid w:val="000F511D"/>
    <w:rsid w:val="000F5216"/>
    <w:rsid w:val="000F52B8"/>
    <w:rsid w:val="000F52F3"/>
    <w:rsid w:val="000F566C"/>
    <w:rsid w:val="000F5773"/>
    <w:rsid w:val="000F57D1"/>
    <w:rsid w:val="000F57E1"/>
    <w:rsid w:val="000F5919"/>
    <w:rsid w:val="000F5DC1"/>
    <w:rsid w:val="000F5E00"/>
    <w:rsid w:val="000F5E0E"/>
    <w:rsid w:val="000F5FE9"/>
    <w:rsid w:val="000F6081"/>
    <w:rsid w:val="000F61C0"/>
    <w:rsid w:val="000F6242"/>
    <w:rsid w:val="000F668B"/>
    <w:rsid w:val="000F68AF"/>
    <w:rsid w:val="000F6B45"/>
    <w:rsid w:val="000F6CAC"/>
    <w:rsid w:val="000F6FA3"/>
    <w:rsid w:val="000F6FA6"/>
    <w:rsid w:val="000F712F"/>
    <w:rsid w:val="000F7434"/>
    <w:rsid w:val="000F74C6"/>
    <w:rsid w:val="000F75BF"/>
    <w:rsid w:val="000F7964"/>
    <w:rsid w:val="000F7A40"/>
    <w:rsid w:val="001001BB"/>
    <w:rsid w:val="001001E3"/>
    <w:rsid w:val="001001ED"/>
    <w:rsid w:val="001004E4"/>
    <w:rsid w:val="001005E9"/>
    <w:rsid w:val="001005EF"/>
    <w:rsid w:val="0010083F"/>
    <w:rsid w:val="00100880"/>
    <w:rsid w:val="00100A42"/>
    <w:rsid w:val="00100DF7"/>
    <w:rsid w:val="00100F1D"/>
    <w:rsid w:val="0010130A"/>
    <w:rsid w:val="00101320"/>
    <w:rsid w:val="00101376"/>
    <w:rsid w:val="00101558"/>
    <w:rsid w:val="0010162F"/>
    <w:rsid w:val="00101684"/>
    <w:rsid w:val="0010168D"/>
    <w:rsid w:val="001016DE"/>
    <w:rsid w:val="00101755"/>
    <w:rsid w:val="00101809"/>
    <w:rsid w:val="001019A6"/>
    <w:rsid w:val="0010205F"/>
    <w:rsid w:val="0010209C"/>
    <w:rsid w:val="00102464"/>
    <w:rsid w:val="0010254E"/>
    <w:rsid w:val="0010268E"/>
    <w:rsid w:val="001027BF"/>
    <w:rsid w:val="001028DD"/>
    <w:rsid w:val="00102B7C"/>
    <w:rsid w:val="00102CB1"/>
    <w:rsid w:val="00102EC7"/>
    <w:rsid w:val="001030EF"/>
    <w:rsid w:val="001031BD"/>
    <w:rsid w:val="001031E8"/>
    <w:rsid w:val="00103232"/>
    <w:rsid w:val="001033F3"/>
    <w:rsid w:val="0010345F"/>
    <w:rsid w:val="0010357C"/>
    <w:rsid w:val="0010369F"/>
    <w:rsid w:val="001036FA"/>
    <w:rsid w:val="00103857"/>
    <w:rsid w:val="001039B0"/>
    <w:rsid w:val="00103A85"/>
    <w:rsid w:val="00103D41"/>
    <w:rsid w:val="0010412B"/>
    <w:rsid w:val="001042C3"/>
    <w:rsid w:val="001042F8"/>
    <w:rsid w:val="00104738"/>
    <w:rsid w:val="0010478A"/>
    <w:rsid w:val="00104896"/>
    <w:rsid w:val="001048C7"/>
    <w:rsid w:val="001049B5"/>
    <w:rsid w:val="00104C75"/>
    <w:rsid w:val="00104CBB"/>
    <w:rsid w:val="00104ED0"/>
    <w:rsid w:val="00104EEE"/>
    <w:rsid w:val="00104F2E"/>
    <w:rsid w:val="00104FE3"/>
    <w:rsid w:val="0010512A"/>
    <w:rsid w:val="00105180"/>
    <w:rsid w:val="001052C6"/>
    <w:rsid w:val="001052ED"/>
    <w:rsid w:val="00105327"/>
    <w:rsid w:val="0010532E"/>
    <w:rsid w:val="001053E8"/>
    <w:rsid w:val="00105674"/>
    <w:rsid w:val="0010587B"/>
    <w:rsid w:val="001058F6"/>
    <w:rsid w:val="00105A8B"/>
    <w:rsid w:val="00105B39"/>
    <w:rsid w:val="00105D7F"/>
    <w:rsid w:val="00106029"/>
    <w:rsid w:val="00106337"/>
    <w:rsid w:val="0010645B"/>
    <w:rsid w:val="001065A0"/>
    <w:rsid w:val="00106618"/>
    <w:rsid w:val="001067B5"/>
    <w:rsid w:val="00106A17"/>
    <w:rsid w:val="00106A92"/>
    <w:rsid w:val="00106D7D"/>
    <w:rsid w:val="001070F8"/>
    <w:rsid w:val="0010724D"/>
    <w:rsid w:val="001073C4"/>
    <w:rsid w:val="0010745F"/>
    <w:rsid w:val="00107720"/>
    <w:rsid w:val="00107802"/>
    <w:rsid w:val="001079C3"/>
    <w:rsid w:val="00107AEE"/>
    <w:rsid w:val="00107C6C"/>
    <w:rsid w:val="00107C72"/>
    <w:rsid w:val="00107D0A"/>
    <w:rsid w:val="00107DB9"/>
    <w:rsid w:val="00107F55"/>
    <w:rsid w:val="001100E9"/>
    <w:rsid w:val="0011025C"/>
    <w:rsid w:val="00110467"/>
    <w:rsid w:val="00110735"/>
    <w:rsid w:val="0011086C"/>
    <w:rsid w:val="00110B25"/>
    <w:rsid w:val="00110B55"/>
    <w:rsid w:val="00110D1E"/>
    <w:rsid w:val="00110F36"/>
    <w:rsid w:val="001112A1"/>
    <w:rsid w:val="001113CE"/>
    <w:rsid w:val="00111627"/>
    <w:rsid w:val="00111693"/>
    <w:rsid w:val="00111974"/>
    <w:rsid w:val="00111A08"/>
    <w:rsid w:val="00111ACF"/>
    <w:rsid w:val="00111BD7"/>
    <w:rsid w:val="00111CC2"/>
    <w:rsid w:val="00111E35"/>
    <w:rsid w:val="00111ED7"/>
    <w:rsid w:val="00111F08"/>
    <w:rsid w:val="00111F80"/>
    <w:rsid w:val="001121F2"/>
    <w:rsid w:val="00112463"/>
    <w:rsid w:val="001124F2"/>
    <w:rsid w:val="0011280B"/>
    <w:rsid w:val="0011285E"/>
    <w:rsid w:val="001128EA"/>
    <w:rsid w:val="00112B92"/>
    <w:rsid w:val="00112C49"/>
    <w:rsid w:val="00112D42"/>
    <w:rsid w:val="00112D85"/>
    <w:rsid w:val="00112DA0"/>
    <w:rsid w:val="00112DF1"/>
    <w:rsid w:val="00112E5B"/>
    <w:rsid w:val="00113497"/>
    <w:rsid w:val="00113731"/>
    <w:rsid w:val="001138E2"/>
    <w:rsid w:val="00113972"/>
    <w:rsid w:val="00113A05"/>
    <w:rsid w:val="00113A64"/>
    <w:rsid w:val="00113BF1"/>
    <w:rsid w:val="00113BF8"/>
    <w:rsid w:val="00113BFF"/>
    <w:rsid w:val="00113C7B"/>
    <w:rsid w:val="00113C9E"/>
    <w:rsid w:val="00114041"/>
    <w:rsid w:val="001141AA"/>
    <w:rsid w:val="001141FD"/>
    <w:rsid w:val="001143DE"/>
    <w:rsid w:val="00114552"/>
    <w:rsid w:val="0011455B"/>
    <w:rsid w:val="00114663"/>
    <w:rsid w:val="00114847"/>
    <w:rsid w:val="0011484D"/>
    <w:rsid w:val="00114878"/>
    <w:rsid w:val="00114DAA"/>
    <w:rsid w:val="00115165"/>
    <w:rsid w:val="001152A7"/>
    <w:rsid w:val="001152E9"/>
    <w:rsid w:val="0011538B"/>
    <w:rsid w:val="00115695"/>
    <w:rsid w:val="001156C9"/>
    <w:rsid w:val="0011571B"/>
    <w:rsid w:val="00115828"/>
    <w:rsid w:val="00115834"/>
    <w:rsid w:val="00115882"/>
    <w:rsid w:val="0011589B"/>
    <w:rsid w:val="001158B7"/>
    <w:rsid w:val="00115B8F"/>
    <w:rsid w:val="00115FD5"/>
    <w:rsid w:val="00116143"/>
    <w:rsid w:val="00116217"/>
    <w:rsid w:val="00116266"/>
    <w:rsid w:val="0011659C"/>
    <w:rsid w:val="00116AB2"/>
    <w:rsid w:val="00116BDB"/>
    <w:rsid w:val="00116C02"/>
    <w:rsid w:val="00116C0E"/>
    <w:rsid w:val="00116F3F"/>
    <w:rsid w:val="0011717A"/>
    <w:rsid w:val="001171F0"/>
    <w:rsid w:val="00117252"/>
    <w:rsid w:val="00117450"/>
    <w:rsid w:val="00117947"/>
    <w:rsid w:val="00117BA4"/>
    <w:rsid w:val="00117E2F"/>
    <w:rsid w:val="00117E76"/>
    <w:rsid w:val="00117ED8"/>
    <w:rsid w:val="001201E8"/>
    <w:rsid w:val="00120399"/>
    <w:rsid w:val="001206B2"/>
    <w:rsid w:val="00120768"/>
    <w:rsid w:val="00120997"/>
    <w:rsid w:val="00120C68"/>
    <w:rsid w:val="00120CC1"/>
    <w:rsid w:val="00120EBF"/>
    <w:rsid w:val="00120EC1"/>
    <w:rsid w:val="00120F63"/>
    <w:rsid w:val="0012116A"/>
    <w:rsid w:val="0012120B"/>
    <w:rsid w:val="001213A4"/>
    <w:rsid w:val="0012143D"/>
    <w:rsid w:val="001219E1"/>
    <w:rsid w:val="00121AAB"/>
    <w:rsid w:val="00121B64"/>
    <w:rsid w:val="00121BAB"/>
    <w:rsid w:val="00121C07"/>
    <w:rsid w:val="00121DB1"/>
    <w:rsid w:val="00121FB3"/>
    <w:rsid w:val="001221A7"/>
    <w:rsid w:val="00122592"/>
    <w:rsid w:val="001227B5"/>
    <w:rsid w:val="001229D6"/>
    <w:rsid w:val="00122C0D"/>
    <w:rsid w:val="00122C2C"/>
    <w:rsid w:val="00122D05"/>
    <w:rsid w:val="00122D8F"/>
    <w:rsid w:val="00122F88"/>
    <w:rsid w:val="0012301F"/>
    <w:rsid w:val="00123054"/>
    <w:rsid w:val="0012332E"/>
    <w:rsid w:val="0012351C"/>
    <w:rsid w:val="001235FF"/>
    <w:rsid w:val="00123895"/>
    <w:rsid w:val="00123B1F"/>
    <w:rsid w:val="00123F31"/>
    <w:rsid w:val="00124237"/>
    <w:rsid w:val="00124443"/>
    <w:rsid w:val="00124625"/>
    <w:rsid w:val="001249C0"/>
    <w:rsid w:val="00124BB1"/>
    <w:rsid w:val="00124D91"/>
    <w:rsid w:val="00124FA8"/>
    <w:rsid w:val="00125161"/>
    <w:rsid w:val="0012529F"/>
    <w:rsid w:val="001252B2"/>
    <w:rsid w:val="001256E0"/>
    <w:rsid w:val="0012578A"/>
    <w:rsid w:val="00125865"/>
    <w:rsid w:val="00125BBF"/>
    <w:rsid w:val="00125F0F"/>
    <w:rsid w:val="00125F5F"/>
    <w:rsid w:val="001262C2"/>
    <w:rsid w:val="0012630B"/>
    <w:rsid w:val="00126333"/>
    <w:rsid w:val="00126478"/>
    <w:rsid w:val="001264DD"/>
    <w:rsid w:val="00126577"/>
    <w:rsid w:val="001265B2"/>
    <w:rsid w:val="001267DB"/>
    <w:rsid w:val="001268FF"/>
    <w:rsid w:val="00126E6C"/>
    <w:rsid w:val="00126FBC"/>
    <w:rsid w:val="00126FFB"/>
    <w:rsid w:val="001271B5"/>
    <w:rsid w:val="001273B6"/>
    <w:rsid w:val="0012750C"/>
    <w:rsid w:val="0012753A"/>
    <w:rsid w:val="00127741"/>
    <w:rsid w:val="001278D6"/>
    <w:rsid w:val="00127A01"/>
    <w:rsid w:val="00127AA0"/>
    <w:rsid w:val="00127AE7"/>
    <w:rsid w:val="00127B23"/>
    <w:rsid w:val="00127E8E"/>
    <w:rsid w:val="00127F3C"/>
    <w:rsid w:val="00127F8D"/>
    <w:rsid w:val="00127FD0"/>
    <w:rsid w:val="00130164"/>
    <w:rsid w:val="001305A3"/>
    <w:rsid w:val="00130867"/>
    <w:rsid w:val="00130A7D"/>
    <w:rsid w:val="00130AFB"/>
    <w:rsid w:val="00130DA1"/>
    <w:rsid w:val="00130E21"/>
    <w:rsid w:val="00131136"/>
    <w:rsid w:val="0013115F"/>
    <w:rsid w:val="0013122D"/>
    <w:rsid w:val="001312B1"/>
    <w:rsid w:val="001313D0"/>
    <w:rsid w:val="001314BD"/>
    <w:rsid w:val="001317E3"/>
    <w:rsid w:val="001317E7"/>
    <w:rsid w:val="00132241"/>
    <w:rsid w:val="001322B6"/>
    <w:rsid w:val="00132591"/>
    <w:rsid w:val="001327FB"/>
    <w:rsid w:val="001329AD"/>
    <w:rsid w:val="00132DF3"/>
    <w:rsid w:val="0013312D"/>
    <w:rsid w:val="001331A2"/>
    <w:rsid w:val="00133299"/>
    <w:rsid w:val="00133775"/>
    <w:rsid w:val="001337BD"/>
    <w:rsid w:val="00133806"/>
    <w:rsid w:val="001338E9"/>
    <w:rsid w:val="00133B6D"/>
    <w:rsid w:val="00133E1F"/>
    <w:rsid w:val="0013488C"/>
    <w:rsid w:val="00134BC9"/>
    <w:rsid w:val="00134BDF"/>
    <w:rsid w:val="00134E05"/>
    <w:rsid w:val="00135089"/>
    <w:rsid w:val="0013519E"/>
    <w:rsid w:val="001351B0"/>
    <w:rsid w:val="001353E6"/>
    <w:rsid w:val="0013548E"/>
    <w:rsid w:val="00135580"/>
    <w:rsid w:val="00135AA3"/>
    <w:rsid w:val="00135EF4"/>
    <w:rsid w:val="00135FAD"/>
    <w:rsid w:val="00136079"/>
    <w:rsid w:val="00136108"/>
    <w:rsid w:val="00136115"/>
    <w:rsid w:val="001361BB"/>
    <w:rsid w:val="00136354"/>
    <w:rsid w:val="001365EC"/>
    <w:rsid w:val="001367A5"/>
    <w:rsid w:val="00136870"/>
    <w:rsid w:val="00136A62"/>
    <w:rsid w:val="00136BAE"/>
    <w:rsid w:val="00136BC9"/>
    <w:rsid w:val="00136D92"/>
    <w:rsid w:val="00136FAA"/>
    <w:rsid w:val="00137128"/>
    <w:rsid w:val="0013733A"/>
    <w:rsid w:val="00137386"/>
    <w:rsid w:val="00137549"/>
    <w:rsid w:val="0013761A"/>
    <w:rsid w:val="00137640"/>
    <w:rsid w:val="00137715"/>
    <w:rsid w:val="00137776"/>
    <w:rsid w:val="0013781D"/>
    <w:rsid w:val="001378F2"/>
    <w:rsid w:val="00137952"/>
    <w:rsid w:val="001379E3"/>
    <w:rsid w:val="00137D44"/>
    <w:rsid w:val="00137DDF"/>
    <w:rsid w:val="00137E0B"/>
    <w:rsid w:val="00137EC8"/>
    <w:rsid w:val="00137F6A"/>
    <w:rsid w:val="0014000E"/>
    <w:rsid w:val="001400AB"/>
    <w:rsid w:val="001401B3"/>
    <w:rsid w:val="001403DF"/>
    <w:rsid w:val="0014049A"/>
    <w:rsid w:val="0014084E"/>
    <w:rsid w:val="00140AEA"/>
    <w:rsid w:val="00140B5F"/>
    <w:rsid w:val="00140CD8"/>
    <w:rsid w:val="00140EA2"/>
    <w:rsid w:val="001410B7"/>
    <w:rsid w:val="001410E6"/>
    <w:rsid w:val="001413F4"/>
    <w:rsid w:val="00141727"/>
    <w:rsid w:val="00141914"/>
    <w:rsid w:val="0014191A"/>
    <w:rsid w:val="00141A7C"/>
    <w:rsid w:val="00141B55"/>
    <w:rsid w:val="00141C9F"/>
    <w:rsid w:val="00141D5A"/>
    <w:rsid w:val="00141DDA"/>
    <w:rsid w:val="00141FF2"/>
    <w:rsid w:val="00141FFD"/>
    <w:rsid w:val="00142050"/>
    <w:rsid w:val="00142067"/>
    <w:rsid w:val="00142073"/>
    <w:rsid w:val="0014233D"/>
    <w:rsid w:val="001423A2"/>
    <w:rsid w:val="001424AA"/>
    <w:rsid w:val="0014252F"/>
    <w:rsid w:val="0014267A"/>
    <w:rsid w:val="001427A9"/>
    <w:rsid w:val="001428C0"/>
    <w:rsid w:val="0014293E"/>
    <w:rsid w:val="00142B74"/>
    <w:rsid w:val="00142BD8"/>
    <w:rsid w:val="00142C9C"/>
    <w:rsid w:val="00142F6C"/>
    <w:rsid w:val="00143205"/>
    <w:rsid w:val="001432C5"/>
    <w:rsid w:val="00143509"/>
    <w:rsid w:val="00143582"/>
    <w:rsid w:val="0014359E"/>
    <w:rsid w:val="001436AB"/>
    <w:rsid w:val="00143737"/>
    <w:rsid w:val="00143769"/>
    <w:rsid w:val="0014378C"/>
    <w:rsid w:val="001439B6"/>
    <w:rsid w:val="00143E3D"/>
    <w:rsid w:val="00143EA9"/>
    <w:rsid w:val="00143ED0"/>
    <w:rsid w:val="00143F0B"/>
    <w:rsid w:val="001440CA"/>
    <w:rsid w:val="00144111"/>
    <w:rsid w:val="0014418A"/>
    <w:rsid w:val="001445FD"/>
    <w:rsid w:val="00144BCF"/>
    <w:rsid w:val="00144C1F"/>
    <w:rsid w:val="00144E10"/>
    <w:rsid w:val="0014530D"/>
    <w:rsid w:val="001456B5"/>
    <w:rsid w:val="0014585A"/>
    <w:rsid w:val="0014597A"/>
    <w:rsid w:val="00145986"/>
    <w:rsid w:val="001459D9"/>
    <w:rsid w:val="00145BC3"/>
    <w:rsid w:val="00145F35"/>
    <w:rsid w:val="00146156"/>
    <w:rsid w:val="001461E9"/>
    <w:rsid w:val="001463E5"/>
    <w:rsid w:val="00146574"/>
    <w:rsid w:val="0014659B"/>
    <w:rsid w:val="00146D77"/>
    <w:rsid w:val="00146EA6"/>
    <w:rsid w:val="00146F6B"/>
    <w:rsid w:val="001470CC"/>
    <w:rsid w:val="00147105"/>
    <w:rsid w:val="00147150"/>
    <w:rsid w:val="0014742F"/>
    <w:rsid w:val="0014772E"/>
    <w:rsid w:val="001478E9"/>
    <w:rsid w:val="00147A4F"/>
    <w:rsid w:val="00147C60"/>
    <w:rsid w:val="00147E3B"/>
    <w:rsid w:val="00147ECB"/>
    <w:rsid w:val="00147F2E"/>
    <w:rsid w:val="001500F8"/>
    <w:rsid w:val="001502F3"/>
    <w:rsid w:val="001503A6"/>
    <w:rsid w:val="001508B3"/>
    <w:rsid w:val="001508FD"/>
    <w:rsid w:val="0015091C"/>
    <w:rsid w:val="0015118F"/>
    <w:rsid w:val="001511F0"/>
    <w:rsid w:val="00151300"/>
    <w:rsid w:val="001513C4"/>
    <w:rsid w:val="00151710"/>
    <w:rsid w:val="00151748"/>
    <w:rsid w:val="001517DC"/>
    <w:rsid w:val="00151942"/>
    <w:rsid w:val="001519B1"/>
    <w:rsid w:val="00151C0C"/>
    <w:rsid w:val="001523A7"/>
    <w:rsid w:val="00152742"/>
    <w:rsid w:val="00152832"/>
    <w:rsid w:val="00152989"/>
    <w:rsid w:val="00152BD7"/>
    <w:rsid w:val="00152C7D"/>
    <w:rsid w:val="00152D2A"/>
    <w:rsid w:val="00152EDF"/>
    <w:rsid w:val="00152F1C"/>
    <w:rsid w:val="001530BD"/>
    <w:rsid w:val="00153256"/>
    <w:rsid w:val="001532A6"/>
    <w:rsid w:val="001532AB"/>
    <w:rsid w:val="001533E9"/>
    <w:rsid w:val="00153541"/>
    <w:rsid w:val="0015382F"/>
    <w:rsid w:val="00153A5C"/>
    <w:rsid w:val="00153A77"/>
    <w:rsid w:val="00153BF2"/>
    <w:rsid w:val="00153D09"/>
    <w:rsid w:val="00153D15"/>
    <w:rsid w:val="00153D29"/>
    <w:rsid w:val="00153DE0"/>
    <w:rsid w:val="00153F18"/>
    <w:rsid w:val="00153FD9"/>
    <w:rsid w:val="001541BD"/>
    <w:rsid w:val="001543E5"/>
    <w:rsid w:val="00154409"/>
    <w:rsid w:val="001544DC"/>
    <w:rsid w:val="001549EC"/>
    <w:rsid w:val="00154BFB"/>
    <w:rsid w:val="00154C0D"/>
    <w:rsid w:val="00154D75"/>
    <w:rsid w:val="00154DA3"/>
    <w:rsid w:val="001550A1"/>
    <w:rsid w:val="00155101"/>
    <w:rsid w:val="001551CC"/>
    <w:rsid w:val="00155360"/>
    <w:rsid w:val="00155618"/>
    <w:rsid w:val="001558BB"/>
    <w:rsid w:val="0015595C"/>
    <w:rsid w:val="00155A8F"/>
    <w:rsid w:val="00155DBB"/>
    <w:rsid w:val="001562CD"/>
    <w:rsid w:val="00156313"/>
    <w:rsid w:val="00156670"/>
    <w:rsid w:val="00156820"/>
    <w:rsid w:val="0015697F"/>
    <w:rsid w:val="00156B34"/>
    <w:rsid w:val="00156F1A"/>
    <w:rsid w:val="0015748F"/>
    <w:rsid w:val="001575F5"/>
    <w:rsid w:val="00157634"/>
    <w:rsid w:val="001577D0"/>
    <w:rsid w:val="00157878"/>
    <w:rsid w:val="00157908"/>
    <w:rsid w:val="0015791B"/>
    <w:rsid w:val="00157C74"/>
    <w:rsid w:val="00157E16"/>
    <w:rsid w:val="00157F4C"/>
    <w:rsid w:val="00160069"/>
    <w:rsid w:val="00160335"/>
    <w:rsid w:val="0016033E"/>
    <w:rsid w:val="001603AB"/>
    <w:rsid w:val="001605CD"/>
    <w:rsid w:val="00160633"/>
    <w:rsid w:val="00160749"/>
    <w:rsid w:val="0016083D"/>
    <w:rsid w:val="0016091E"/>
    <w:rsid w:val="00160B09"/>
    <w:rsid w:val="00160B2A"/>
    <w:rsid w:val="00160C57"/>
    <w:rsid w:val="00160CFE"/>
    <w:rsid w:val="00160D84"/>
    <w:rsid w:val="00160EC8"/>
    <w:rsid w:val="00160F5A"/>
    <w:rsid w:val="00161014"/>
    <w:rsid w:val="00161114"/>
    <w:rsid w:val="00161182"/>
    <w:rsid w:val="001612B7"/>
    <w:rsid w:val="0016155B"/>
    <w:rsid w:val="001616B8"/>
    <w:rsid w:val="0016195B"/>
    <w:rsid w:val="00161A02"/>
    <w:rsid w:val="00161D3C"/>
    <w:rsid w:val="00162077"/>
    <w:rsid w:val="00162303"/>
    <w:rsid w:val="0016256F"/>
    <w:rsid w:val="00162645"/>
    <w:rsid w:val="0016275C"/>
    <w:rsid w:val="00162856"/>
    <w:rsid w:val="00162B97"/>
    <w:rsid w:val="00162C16"/>
    <w:rsid w:val="00162D87"/>
    <w:rsid w:val="00163005"/>
    <w:rsid w:val="001632DA"/>
    <w:rsid w:val="00163369"/>
    <w:rsid w:val="0016345A"/>
    <w:rsid w:val="001634B4"/>
    <w:rsid w:val="0016352D"/>
    <w:rsid w:val="00163553"/>
    <w:rsid w:val="0016356C"/>
    <w:rsid w:val="0016397E"/>
    <w:rsid w:val="00163C4E"/>
    <w:rsid w:val="00163F69"/>
    <w:rsid w:val="00163FE5"/>
    <w:rsid w:val="00164361"/>
    <w:rsid w:val="00164532"/>
    <w:rsid w:val="00164648"/>
    <w:rsid w:val="001646FA"/>
    <w:rsid w:val="0016477F"/>
    <w:rsid w:val="001647C3"/>
    <w:rsid w:val="00164842"/>
    <w:rsid w:val="001648C6"/>
    <w:rsid w:val="00164B6C"/>
    <w:rsid w:val="00164BB8"/>
    <w:rsid w:val="00164FCC"/>
    <w:rsid w:val="00165148"/>
    <w:rsid w:val="001651B7"/>
    <w:rsid w:val="001651BE"/>
    <w:rsid w:val="001651EE"/>
    <w:rsid w:val="00165271"/>
    <w:rsid w:val="0016547E"/>
    <w:rsid w:val="00165500"/>
    <w:rsid w:val="00165515"/>
    <w:rsid w:val="00165694"/>
    <w:rsid w:val="00165772"/>
    <w:rsid w:val="0016587E"/>
    <w:rsid w:val="001659C3"/>
    <w:rsid w:val="00165B98"/>
    <w:rsid w:val="00165D70"/>
    <w:rsid w:val="00165E22"/>
    <w:rsid w:val="00165EC3"/>
    <w:rsid w:val="00165F40"/>
    <w:rsid w:val="00165FC0"/>
    <w:rsid w:val="00166166"/>
    <w:rsid w:val="001661B4"/>
    <w:rsid w:val="00166219"/>
    <w:rsid w:val="0016625C"/>
    <w:rsid w:val="001663E4"/>
    <w:rsid w:val="00166512"/>
    <w:rsid w:val="00166891"/>
    <w:rsid w:val="0016694C"/>
    <w:rsid w:val="001669DB"/>
    <w:rsid w:val="00166BE2"/>
    <w:rsid w:val="00166C7B"/>
    <w:rsid w:val="00166E96"/>
    <w:rsid w:val="0016705D"/>
    <w:rsid w:val="0016719D"/>
    <w:rsid w:val="0016738C"/>
    <w:rsid w:val="001676F9"/>
    <w:rsid w:val="0016775C"/>
    <w:rsid w:val="0016799A"/>
    <w:rsid w:val="00167B7C"/>
    <w:rsid w:val="00167C58"/>
    <w:rsid w:val="00167D09"/>
    <w:rsid w:val="00167EE9"/>
    <w:rsid w:val="00167FF4"/>
    <w:rsid w:val="00170328"/>
    <w:rsid w:val="00170399"/>
    <w:rsid w:val="001703DB"/>
    <w:rsid w:val="00170450"/>
    <w:rsid w:val="0017051D"/>
    <w:rsid w:val="001705C5"/>
    <w:rsid w:val="00170783"/>
    <w:rsid w:val="0017098F"/>
    <w:rsid w:val="00170A41"/>
    <w:rsid w:val="00170B48"/>
    <w:rsid w:val="00170CA2"/>
    <w:rsid w:val="00170E81"/>
    <w:rsid w:val="00170F63"/>
    <w:rsid w:val="001714A0"/>
    <w:rsid w:val="00171819"/>
    <w:rsid w:val="00171B1E"/>
    <w:rsid w:val="00171CF7"/>
    <w:rsid w:val="00171EF6"/>
    <w:rsid w:val="00171F06"/>
    <w:rsid w:val="00171F8B"/>
    <w:rsid w:val="001720F9"/>
    <w:rsid w:val="00172466"/>
    <w:rsid w:val="001726F7"/>
    <w:rsid w:val="00172A42"/>
    <w:rsid w:val="00172B2E"/>
    <w:rsid w:val="00172D99"/>
    <w:rsid w:val="00172DEA"/>
    <w:rsid w:val="00172E5B"/>
    <w:rsid w:val="00172E66"/>
    <w:rsid w:val="00172EA4"/>
    <w:rsid w:val="00173084"/>
    <w:rsid w:val="00173126"/>
    <w:rsid w:val="001733AA"/>
    <w:rsid w:val="0017340A"/>
    <w:rsid w:val="001736D4"/>
    <w:rsid w:val="00173AF4"/>
    <w:rsid w:val="00173E54"/>
    <w:rsid w:val="00173F69"/>
    <w:rsid w:val="00174011"/>
    <w:rsid w:val="0017415E"/>
    <w:rsid w:val="0017421B"/>
    <w:rsid w:val="00174557"/>
    <w:rsid w:val="0017461F"/>
    <w:rsid w:val="00174C21"/>
    <w:rsid w:val="00174E97"/>
    <w:rsid w:val="00174FF0"/>
    <w:rsid w:val="00175215"/>
    <w:rsid w:val="001753F8"/>
    <w:rsid w:val="0017540E"/>
    <w:rsid w:val="001754BE"/>
    <w:rsid w:val="00175634"/>
    <w:rsid w:val="00175919"/>
    <w:rsid w:val="00175CCC"/>
    <w:rsid w:val="00175EB5"/>
    <w:rsid w:val="00175ECA"/>
    <w:rsid w:val="00176162"/>
    <w:rsid w:val="00176165"/>
    <w:rsid w:val="00176188"/>
    <w:rsid w:val="001761EA"/>
    <w:rsid w:val="001762C6"/>
    <w:rsid w:val="001762DE"/>
    <w:rsid w:val="00176370"/>
    <w:rsid w:val="001763B4"/>
    <w:rsid w:val="00176596"/>
    <w:rsid w:val="001765CB"/>
    <w:rsid w:val="00176614"/>
    <w:rsid w:val="001766BE"/>
    <w:rsid w:val="001768A7"/>
    <w:rsid w:val="001769F1"/>
    <w:rsid w:val="00176B88"/>
    <w:rsid w:val="00176BBB"/>
    <w:rsid w:val="00176D3D"/>
    <w:rsid w:val="00176EB4"/>
    <w:rsid w:val="00176FC6"/>
    <w:rsid w:val="001771B3"/>
    <w:rsid w:val="00177679"/>
    <w:rsid w:val="0017767E"/>
    <w:rsid w:val="00177857"/>
    <w:rsid w:val="00177D21"/>
    <w:rsid w:val="00177F36"/>
    <w:rsid w:val="00177F5F"/>
    <w:rsid w:val="00180098"/>
    <w:rsid w:val="00180293"/>
    <w:rsid w:val="00180393"/>
    <w:rsid w:val="00180459"/>
    <w:rsid w:val="0018047D"/>
    <w:rsid w:val="0018068B"/>
    <w:rsid w:val="001808F9"/>
    <w:rsid w:val="0018094E"/>
    <w:rsid w:val="00180ACB"/>
    <w:rsid w:val="00180BE1"/>
    <w:rsid w:val="00180D3F"/>
    <w:rsid w:val="00180DEB"/>
    <w:rsid w:val="00180E08"/>
    <w:rsid w:val="00180EFF"/>
    <w:rsid w:val="0018102C"/>
    <w:rsid w:val="00181390"/>
    <w:rsid w:val="00181732"/>
    <w:rsid w:val="00181AD7"/>
    <w:rsid w:val="00181D14"/>
    <w:rsid w:val="00181D31"/>
    <w:rsid w:val="0018223B"/>
    <w:rsid w:val="00182281"/>
    <w:rsid w:val="001823BF"/>
    <w:rsid w:val="0018241A"/>
    <w:rsid w:val="0018255F"/>
    <w:rsid w:val="00182793"/>
    <w:rsid w:val="001828BC"/>
    <w:rsid w:val="001828F5"/>
    <w:rsid w:val="00182A01"/>
    <w:rsid w:val="00182ACC"/>
    <w:rsid w:val="00182CBD"/>
    <w:rsid w:val="00182E4C"/>
    <w:rsid w:val="00182EDD"/>
    <w:rsid w:val="00182F5E"/>
    <w:rsid w:val="00182F81"/>
    <w:rsid w:val="00183065"/>
    <w:rsid w:val="0018307A"/>
    <w:rsid w:val="001830F4"/>
    <w:rsid w:val="001832C1"/>
    <w:rsid w:val="001832DD"/>
    <w:rsid w:val="0018337B"/>
    <w:rsid w:val="001835D4"/>
    <w:rsid w:val="0018361B"/>
    <w:rsid w:val="00183622"/>
    <w:rsid w:val="0018375C"/>
    <w:rsid w:val="0018394D"/>
    <w:rsid w:val="00183ADA"/>
    <w:rsid w:val="00183BF5"/>
    <w:rsid w:val="00183F87"/>
    <w:rsid w:val="0018420E"/>
    <w:rsid w:val="001842A4"/>
    <w:rsid w:val="00184824"/>
    <w:rsid w:val="00184A35"/>
    <w:rsid w:val="00184AC4"/>
    <w:rsid w:val="00184AF9"/>
    <w:rsid w:val="00184E1D"/>
    <w:rsid w:val="00184EC2"/>
    <w:rsid w:val="00184FC2"/>
    <w:rsid w:val="00185071"/>
    <w:rsid w:val="001855F3"/>
    <w:rsid w:val="00185959"/>
    <w:rsid w:val="00185BE0"/>
    <w:rsid w:val="00185C21"/>
    <w:rsid w:val="00185D49"/>
    <w:rsid w:val="0018600B"/>
    <w:rsid w:val="001861BE"/>
    <w:rsid w:val="00186423"/>
    <w:rsid w:val="00186450"/>
    <w:rsid w:val="00186538"/>
    <w:rsid w:val="00186676"/>
    <w:rsid w:val="001869EA"/>
    <w:rsid w:val="00186A1F"/>
    <w:rsid w:val="00186A6A"/>
    <w:rsid w:val="00186AE2"/>
    <w:rsid w:val="00186B73"/>
    <w:rsid w:val="00186E10"/>
    <w:rsid w:val="00187273"/>
    <w:rsid w:val="0018738D"/>
    <w:rsid w:val="00187613"/>
    <w:rsid w:val="00187666"/>
    <w:rsid w:val="001876CF"/>
    <w:rsid w:val="0018774F"/>
    <w:rsid w:val="001877C9"/>
    <w:rsid w:val="00187870"/>
    <w:rsid w:val="00187903"/>
    <w:rsid w:val="00187922"/>
    <w:rsid w:val="00187982"/>
    <w:rsid w:val="00187987"/>
    <w:rsid w:val="001879C5"/>
    <w:rsid w:val="00187A9D"/>
    <w:rsid w:val="00187B83"/>
    <w:rsid w:val="00187B9A"/>
    <w:rsid w:val="00187BAE"/>
    <w:rsid w:val="00187C95"/>
    <w:rsid w:val="00187D74"/>
    <w:rsid w:val="00187E2C"/>
    <w:rsid w:val="00187E82"/>
    <w:rsid w:val="00187EA8"/>
    <w:rsid w:val="00187F88"/>
    <w:rsid w:val="00190279"/>
    <w:rsid w:val="00190481"/>
    <w:rsid w:val="001904BA"/>
    <w:rsid w:val="00190783"/>
    <w:rsid w:val="001908E1"/>
    <w:rsid w:val="001908F8"/>
    <w:rsid w:val="00190C21"/>
    <w:rsid w:val="00190DC4"/>
    <w:rsid w:val="00190DD7"/>
    <w:rsid w:val="00190E97"/>
    <w:rsid w:val="00190F0F"/>
    <w:rsid w:val="00190F6F"/>
    <w:rsid w:val="00190FA9"/>
    <w:rsid w:val="001910C7"/>
    <w:rsid w:val="001910F4"/>
    <w:rsid w:val="00191184"/>
    <w:rsid w:val="001916A3"/>
    <w:rsid w:val="00191795"/>
    <w:rsid w:val="00191867"/>
    <w:rsid w:val="0019193A"/>
    <w:rsid w:val="00191E28"/>
    <w:rsid w:val="00191EE6"/>
    <w:rsid w:val="00192362"/>
    <w:rsid w:val="001923A1"/>
    <w:rsid w:val="001924A1"/>
    <w:rsid w:val="00192531"/>
    <w:rsid w:val="001928D7"/>
    <w:rsid w:val="00192A60"/>
    <w:rsid w:val="00192B96"/>
    <w:rsid w:val="00192FB5"/>
    <w:rsid w:val="00193321"/>
    <w:rsid w:val="00193382"/>
    <w:rsid w:val="00193685"/>
    <w:rsid w:val="00193706"/>
    <w:rsid w:val="00193AA0"/>
    <w:rsid w:val="00193E3D"/>
    <w:rsid w:val="00193E88"/>
    <w:rsid w:val="00194144"/>
    <w:rsid w:val="001943FA"/>
    <w:rsid w:val="001945D9"/>
    <w:rsid w:val="00194607"/>
    <w:rsid w:val="0019460C"/>
    <w:rsid w:val="00194649"/>
    <w:rsid w:val="0019465C"/>
    <w:rsid w:val="001946C5"/>
    <w:rsid w:val="001946EE"/>
    <w:rsid w:val="00194783"/>
    <w:rsid w:val="00194915"/>
    <w:rsid w:val="0019493C"/>
    <w:rsid w:val="00194953"/>
    <w:rsid w:val="0019497A"/>
    <w:rsid w:val="001949C2"/>
    <w:rsid w:val="00194BE0"/>
    <w:rsid w:val="00194C3D"/>
    <w:rsid w:val="00194E0B"/>
    <w:rsid w:val="00194F58"/>
    <w:rsid w:val="0019538C"/>
    <w:rsid w:val="001953AF"/>
    <w:rsid w:val="00195585"/>
    <w:rsid w:val="001958D4"/>
    <w:rsid w:val="001959A1"/>
    <w:rsid w:val="00195C71"/>
    <w:rsid w:val="00195DDF"/>
    <w:rsid w:val="001960D2"/>
    <w:rsid w:val="001969C1"/>
    <w:rsid w:val="00196A55"/>
    <w:rsid w:val="00196A94"/>
    <w:rsid w:val="00196B6E"/>
    <w:rsid w:val="00196C22"/>
    <w:rsid w:val="00196C66"/>
    <w:rsid w:val="00196DB4"/>
    <w:rsid w:val="00196EDB"/>
    <w:rsid w:val="00196F87"/>
    <w:rsid w:val="001970FC"/>
    <w:rsid w:val="001971D9"/>
    <w:rsid w:val="001972A5"/>
    <w:rsid w:val="001979C3"/>
    <w:rsid w:val="00197CFD"/>
    <w:rsid w:val="00197E48"/>
    <w:rsid w:val="00197F2D"/>
    <w:rsid w:val="00197FB4"/>
    <w:rsid w:val="001A0077"/>
    <w:rsid w:val="001A0224"/>
    <w:rsid w:val="001A03BD"/>
    <w:rsid w:val="001A051E"/>
    <w:rsid w:val="001A05C1"/>
    <w:rsid w:val="001A060E"/>
    <w:rsid w:val="001A061E"/>
    <w:rsid w:val="001A0656"/>
    <w:rsid w:val="001A06A4"/>
    <w:rsid w:val="001A0726"/>
    <w:rsid w:val="001A0799"/>
    <w:rsid w:val="001A0986"/>
    <w:rsid w:val="001A0AD6"/>
    <w:rsid w:val="001A0B5D"/>
    <w:rsid w:val="001A0C3E"/>
    <w:rsid w:val="001A0C58"/>
    <w:rsid w:val="001A0CDC"/>
    <w:rsid w:val="001A0E84"/>
    <w:rsid w:val="001A110D"/>
    <w:rsid w:val="001A115E"/>
    <w:rsid w:val="001A1205"/>
    <w:rsid w:val="001A1313"/>
    <w:rsid w:val="001A144A"/>
    <w:rsid w:val="001A149F"/>
    <w:rsid w:val="001A16ED"/>
    <w:rsid w:val="001A17A1"/>
    <w:rsid w:val="001A17B4"/>
    <w:rsid w:val="001A191F"/>
    <w:rsid w:val="001A19C4"/>
    <w:rsid w:val="001A1BFE"/>
    <w:rsid w:val="001A1D68"/>
    <w:rsid w:val="001A1D94"/>
    <w:rsid w:val="001A1E10"/>
    <w:rsid w:val="001A215E"/>
    <w:rsid w:val="001A2657"/>
    <w:rsid w:val="001A270E"/>
    <w:rsid w:val="001A2863"/>
    <w:rsid w:val="001A2918"/>
    <w:rsid w:val="001A2955"/>
    <w:rsid w:val="001A2C79"/>
    <w:rsid w:val="001A2CBC"/>
    <w:rsid w:val="001A30C4"/>
    <w:rsid w:val="001A30D0"/>
    <w:rsid w:val="001A31A6"/>
    <w:rsid w:val="001A31D0"/>
    <w:rsid w:val="001A3646"/>
    <w:rsid w:val="001A36E6"/>
    <w:rsid w:val="001A378B"/>
    <w:rsid w:val="001A380B"/>
    <w:rsid w:val="001A386B"/>
    <w:rsid w:val="001A3A36"/>
    <w:rsid w:val="001A3C76"/>
    <w:rsid w:val="001A3DEA"/>
    <w:rsid w:val="001A3F51"/>
    <w:rsid w:val="001A40F3"/>
    <w:rsid w:val="001A4317"/>
    <w:rsid w:val="001A44C2"/>
    <w:rsid w:val="001A453A"/>
    <w:rsid w:val="001A4582"/>
    <w:rsid w:val="001A47AC"/>
    <w:rsid w:val="001A489A"/>
    <w:rsid w:val="001A4A16"/>
    <w:rsid w:val="001A4A3A"/>
    <w:rsid w:val="001A4ADF"/>
    <w:rsid w:val="001A4B20"/>
    <w:rsid w:val="001A4C52"/>
    <w:rsid w:val="001A4DE2"/>
    <w:rsid w:val="001A4EB1"/>
    <w:rsid w:val="001A4FC3"/>
    <w:rsid w:val="001A5011"/>
    <w:rsid w:val="001A501A"/>
    <w:rsid w:val="001A50E2"/>
    <w:rsid w:val="001A52B1"/>
    <w:rsid w:val="001A5372"/>
    <w:rsid w:val="001A5652"/>
    <w:rsid w:val="001A57AE"/>
    <w:rsid w:val="001A57C3"/>
    <w:rsid w:val="001A57F1"/>
    <w:rsid w:val="001A5924"/>
    <w:rsid w:val="001A5AF4"/>
    <w:rsid w:val="001A5DF8"/>
    <w:rsid w:val="001A5EF2"/>
    <w:rsid w:val="001A6157"/>
    <w:rsid w:val="001A61EB"/>
    <w:rsid w:val="001A624E"/>
    <w:rsid w:val="001A6490"/>
    <w:rsid w:val="001A677C"/>
    <w:rsid w:val="001A6B78"/>
    <w:rsid w:val="001A6F13"/>
    <w:rsid w:val="001A70B5"/>
    <w:rsid w:val="001A71CE"/>
    <w:rsid w:val="001A72F5"/>
    <w:rsid w:val="001A74E6"/>
    <w:rsid w:val="001A772B"/>
    <w:rsid w:val="001A77A3"/>
    <w:rsid w:val="001A77B8"/>
    <w:rsid w:val="001A7897"/>
    <w:rsid w:val="001A7ABD"/>
    <w:rsid w:val="001A7B46"/>
    <w:rsid w:val="001A7B99"/>
    <w:rsid w:val="001A7C93"/>
    <w:rsid w:val="001A7D30"/>
    <w:rsid w:val="001B02F0"/>
    <w:rsid w:val="001B081F"/>
    <w:rsid w:val="001B0F6A"/>
    <w:rsid w:val="001B10CD"/>
    <w:rsid w:val="001B116D"/>
    <w:rsid w:val="001B1249"/>
    <w:rsid w:val="001B12B7"/>
    <w:rsid w:val="001B136E"/>
    <w:rsid w:val="001B16E1"/>
    <w:rsid w:val="001B1A25"/>
    <w:rsid w:val="001B1B37"/>
    <w:rsid w:val="001B1C04"/>
    <w:rsid w:val="001B1DB3"/>
    <w:rsid w:val="001B21E3"/>
    <w:rsid w:val="001B2251"/>
    <w:rsid w:val="001B2502"/>
    <w:rsid w:val="001B2535"/>
    <w:rsid w:val="001B2573"/>
    <w:rsid w:val="001B260E"/>
    <w:rsid w:val="001B27AD"/>
    <w:rsid w:val="001B2817"/>
    <w:rsid w:val="001B281B"/>
    <w:rsid w:val="001B2829"/>
    <w:rsid w:val="001B2830"/>
    <w:rsid w:val="001B2931"/>
    <w:rsid w:val="001B2932"/>
    <w:rsid w:val="001B2A15"/>
    <w:rsid w:val="001B2A2E"/>
    <w:rsid w:val="001B2CFE"/>
    <w:rsid w:val="001B2D18"/>
    <w:rsid w:val="001B32FA"/>
    <w:rsid w:val="001B349E"/>
    <w:rsid w:val="001B34AB"/>
    <w:rsid w:val="001B34B0"/>
    <w:rsid w:val="001B34DF"/>
    <w:rsid w:val="001B353C"/>
    <w:rsid w:val="001B3555"/>
    <w:rsid w:val="001B3562"/>
    <w:rsid w:val="001B3591"/>
    <w:rsid w:val="001B3754"/>
    <w:rsid w:val="001B376C"/>
    <w:rsid w:val="001B3775"/>
    <w:rsid w:val="001B3865"/>
    <w:rsid w:val="001B3907"/>
    <w:rsid w:val="001B3C75"/>
    <w:rsid w:val="001B3C88"/>
    <w:rsid w:val="001B3DCC"/>
    <w:rsid w:val="001B4002"/>
    <w:rsid w:val="001B40B1"/>
    <w:rsid w:val="001B4653"/>
    <w:rsid w:val="001B495D"/>
    <w:rsid w:val="001B49A8"/>
    <w:rsid w:val="001B4AA8"/>
    <w:rsid w:val="001B4E05"/>
    <w:rsid w:val="001B53DD"/>
    <w:rsid w:val="001B56D1"/>
    <w:rsid w:val="001B573A"/>
    <w:rsid w:val="001B57BA"/>
    <w:rsid w:val="001B580D"/>
    <w:rsid w:val="001B59FB"/>
    <w:rsid w:val="001B5B88"/>
    <w:rsid w:val="001B5BCA"/>
    <w:rsid w:val="001B5C69"/>
    <w:rsid w:val="001B5E69"/>
    <w:rsid w:val="001B5ECD"/>
    <w:rsid w:val="001B5F1D"/>
    <w:rsid w:val="001B5F6A"/>
    <w:rsid w:val="001B601F"/>
    <w:rsid w:val="001B61BB"/>
    <w:rsid w:val="001B6513"/>
    <w:rsid w:val="001B699E"/>
    <w:rsid w:val="001B6F8B"/>
    <w:rsid w:val="001B71EC"/>
    <w:rsid w:val="001B722F"/>
    <w:rsid w:val="001B7275"/>
    <w:rsid w:val="001B72DD"/>
    <w:rsid w:val="001B72F7"/>
    <w:rsid w:val="001B74B6"/>
    <w:rsid w:val="001B793F"/>
    <w:rsid w:val="001B7B93"/>
    <w:rsid w:val="001B7BAE"/>
    <w:rsid w:val="001B7BE8"/>
    <w:rsid w:val="001B7D02"/>
    <w:rsid w:val="001B7D17"/>
    <w:rsid w:val="001B7D9C"/>
    <w:rsid w:val="001B7DB9"/>
    <w:rsid w:val="001B7E9D"/>
    <w:rsid w:val="001B7EF7"/>
    <w:rsid w:val="001C017F"/>
    <w:rsid w:val="001C01B6"/>
    <w:rsid w:val="001C027E"/>
    <w:rsid w:val="001C0369"/>
    <w:rsid w:val="001C0479"/>
    <w:rsid w:val="001C0566"/>
    <w:rsid w:val="001C0578"/>
    <w:rsid w:val="001C0603"/>
    <w:rsid w:val="001C06D0"/>
    <w:rsid w:val="001C0700"/>
    <w:rsid w:val="001C080F"/>
    <w:rsid w:val="001C0989"/>
    <w:rsid w:val="001C0A24"/>
    <w:rsid w:val="001C0BB5"/>
    <w:rsid w:val="001C0CC1"/>
    <w:rsid w:val="001C0E48"/>
    <w:rsid w:val="001C0EC9"/>
    <w:rsid w:val="001C0F3B"/>
    <w:rsid w:val="001C0F9F"/>
    <w:rsid w:val="001C10DD"/>
    <w:rsid w:val="001C1224"/>
    <w:rsid w:val="001C129E"/>
    <w:rsid w:val="001C1434"/>
    <w:rsid w:val="001C1449"/>
    <w:rsid w:val="001C14E9"/>
    <w:rsid w:val="001C15CE"/>
    <w:rsid w:val="001C15FE"/>
    <w:rsid w:val="001C172D"/>
    <w:rsid w:val="001C1788"/>
    <w:rsid w:val="001C1915"/>
    <w:rsid w:val="001C1B7B"/>
    <w:rsid w:val="001C1C09"/>
    <w:rsid w:val="001C1D5B"/>
    <w:rsid w:val="001C1E18"/>
    <w:rsid w:val="001C1E1F"/>
    <w:rsid w:val="001C1E5D"/>
    <w:rsid w:val="001C1EE6"/>
    <w:rsid w:val="001C22B5"/>
    <w:rsid w:val="001C22D3"/>
    <w:rsid w:val="001C253C"/>
    <w:rsid w:val="001C2806"/>
    <w:rsid w:val="001C28F7"/>
    <w:rsid w:val="001C2921"/>
    <w:rsid w:val="001C2995"/>
    <w:rsid w:val="001C2ABC"/>
    <w:rsid w:val="001C2B21"/>
    <w:rsid w:val="001C2C81"/>
    <w:rsid w:val="001C2E04"/>
    <w:rsid w:val="001C316E"/>
    <w:rsid w:val="001C31A3"/>
    <w:rsid w:val="001C3253"/>
    <w:rsid w:val="001C3290"/>
    <w:rsid w:val="001C3369"/>
    <w:rsid w:val="001C3490"/>
    <w:rsid w:val="001C3B6B"/>
    <w:rsid w:val="001C3C57"/>
    <w:rsid w:val="001C3CB1"/>
    <w:rsid w:val="001C3F49"/>
    <w:rsid w:val="001C3F8C"/>
    <w:rsid w:val="001C3FD2"/>
    <w:rsid w:val="001C426E"/>
    <w:rsid w:val="001C4765"/>
    <w:rsid w:val="001C47EC"/>
    <w:rsid w:val="001C4A7F"/>
    <w:rsid w:val="001C4B10"/>
    <w:rsid w:val="001C4EEF"/>
    <w:rsid w:val="001C4F6E"/>
    <w:rsid w:val="001C5082"/>
    <w:rsid w:val="001C511C"/>
    <w:rsid w:val="001C53E7"/>
    <w:rsid w:val="001C553D"/>
    <w:rsid w:val="001C557E"/>
    <w:rsid w:val="001C55D3"/>
    <w:rsid w:val="001C55EA"/>
    <w:rsid w:val="001C59D8"/>
    <w:rsid w:val="001C5B47"/>
    <w:rsid w:val="001C5E5B"/>
    <w:rsid w:val="001C6064"/>
    <w:rsid w:val="001C621F"/>
    <w:rsid w:val="001C623F"/>
    <w:rsid w:val="001C63AF"/>
    <w:rsid w:val="001C63D3"/>
    <w:rsid w:val="001C6794"/>
    <w:rsid w:val="001C6B95"/>
    <w:rsid w:val="001C6EB5"/>
    <w:rsid w:val="001C6ED0"/>
    <w:rsid w:val="001C708F"/>
    <w:rsid w:val="001C7093"/>
    <w:rsid w:val="001C7241"/>
    <w:rsid w:val="001C72F8"/>
    <w:rsid w:val="001C7353"/>
    <w:rsid w:val="001C73A0"/>
    <w:rsid w:val="001C752F"/>
    <w:rsid w:val="001C7A78"/>
    <w:rsid w:val="001C7B0A"/>
    <w:rsid w:val="001D0078"/>
    <w:rsid w:val="001D0086"/>
    <w:rsid w:val="001D0422"/>
    <w:rsid w:val="001D064A"/>
    <w:rsid w:val="001D0931"/>
    <w:rsid w:val="001D0979"/>
    <w:rsid w:val="001D0B82"/>
    <w:rsid w:val="001D0DF2"/>
    <w:rsid w:val="001D0DF4"/>
    <w:rsid w:val="001D0F01"/>
    <w:rsid w:val="001D0F56"/>
    <w:rsid w:val="001D10C5"/>
    <w:rsid w:val="001D1392"/>
    <w:rsid w:val="001D152E"/>
    <w:rsid w:val="001D1641"/>
    <w:rsid w:val="001D189C"/>
    <w:rsid w:val="001D1B41"/>
    <w:rsid w:val="001D1F41"/>
    <w:rsid w:val="001D2098"/>
    <w:rsid w:val="001D2290"/>
    <w:rsid w:val="001D22DC"/>
    <w:rsid w:val="001D23D9"/>
    <w:rsid w:val="001D26A9"/>
    <w:rsid w:val="001D27A9"/>
    <w:rsid w:val="001D2DE1"/>
    <w:rsid w:val="001D2E99"/>
    <w:rsid w:val="001D3027"/>
    <w:rsid w:val="001D3081"/>
    <w:rsid w:val="001D3107"/>
    <w:rsid w:val="001D3334"/>
    <w:rsid w:val="001D33F4"/>
    <w:rsid w:val="001D33FB"/>
    <w:rsid w:val="001D37B5"/>
    <w:rsid w:val="001D37C8"/>
    <w:rsid w:val="001D3818"/>
    <w:rsid w:val="001D3AC7"/>
    <w:rsid w:val="001D3C06"/>
    <w:rsid w:val="001D3C43"/>
    <w:rsid w:val="001D3EF7"/>
    <w:rsid w:val="001D3FFA"/>
    <w:rsid w:val="001D4099"/>
    <w:rsid w:val="001D4136"/>
    <w:rsid w:val="001D4153"/>
    <w:rsid w:val="001D417C"/>
    <w:rsid w:val="001D42A6"/>
    <w:rsid w:val="001D4361"/>
    <w:rsid w:val="001D43DC"/>
    <w:rsid w:val="001D4583"/>
    <w:rsid w:val="001D47CB"/>
    <w:rsid w:val="001D48C2"/>
    <w:rsid w:val="001D49A4"/>
    <w:rsid w:val="001D4C36"/>
    <w:rsid w:val="001D4D64"/>
    <w:rsid w:val="001D4DA3"/>
    <w:rsid w:val="001D5B95"/>
    <w:rsid w:val="001D5D1F"/>
    <w:rsid w:val="001D5D9C"/>
    <w:rsid w:val="001D5F48"/>
    <w:rsid w:val="001D5F70"/>
    <w:rsid w:val="001D6039"/>
    <w:rsid w:val="001D61AD"/>
    <w:rsid w:val="001D61DE"/>
    <w:rsid w:val="001D6233"/>
    <w:rsid w:val="001D65C1"/>
    <w:rsid w:val="001D671C"/>
    <w:rsid w:val="001D6821"/>
    <w:rsid w:val="001D6824"/>
    <w:rsid w:val="001D6935"/>
    <w:rsid w:val="001D6B4B"/>
    <w:rsid w:val="001D6D47"/>
    <w:rsid w:val="001D712F"/>
    <w:rsid w:val="001D713E"/>
    <w:rsid w:val="001D71DF"/>
    <w:rsid w:val="001D720E"/>
    <w:rsid w:val="001D72E0"/>
    <w:rsid w:val="001D7307"/>
    <w:rsid w:val="001D74A3"/>
    <w:rsid w:val="001D7690"/>
    <w:rsid w:val="001D7892"/>
    <w:rsid w:val="001D79D3"/>
    <w:rsid w:val="001D7B3D"/>
    <w:rsid w:val="001D7D4A"/>
    <w:rsid w:val="001D7D54"/>
    <w:rsid w:val="001D7DAD"/>
    <w:rsid w:val="001E0207"/>
    <w:rsid w:val="001E022B"/>
    <w:rsid w:val="001E08C1"/>
    <w:rsid w:val="001E098B"/>
    <w:rsid w:val="001E0A91"/>
    <w:rsid w:val="001E0CF1"/>
    <w:rsid w:val="001E0D04"/>
    <w:rsid w:val="001E11C5"/>
    <w:rsid w:val="001E12AA"/>
    <w:rsid w:val="001E12BA"/>
    <w:rsid w:val="001E1329"/>
    <w:rsid w:val="001E140D"/>
    <w:rsid w:val="001E14E8"/>
    <w:rsid w:val="001E19D0"/>
    <w:rsid w:val="001E1A15"/>
    <w:rsid w:val="001E1D86"/>
    <w:rsid w:val="001E2126"/>
    <w:rsid w:val="001E2222"/>
    <w:rsid w:val="001E2288"/>
    <w:rsid w:val="001E2352"/>
    <w:rsid w:val="001E237A"/>
    <w:rsid w:val="001E2821"/>
    <w:rsid w:val="001E2ADE"/>
    <w:rsid w:val="001E2DC0"/>
    <w:rsid w:val="001E2FE9"/>
    <w:rsid w:val="001E30E9"/>
    <w:rsid w:val="001E33A4"/>
    <w:rsid w:val="001E371E"/>
    <w:rsid w:val="001E37BA"/>
    <w:rsid w:val="001E3817"/>
    <w:rsid w:val="001E3905"/>
    <w:rsid w:val="001E39FC"/>
    <w:rsid w:val="001E3C0B"/>
    <w:rsid w:val="001E3CB0"/>
    <w:rsid w:val="001E3EC9"/>
    <w:rsid w:val="001E4743"/>
    <w:rsid w:val="001E4780"/>
    <w:rsid w:val="001E489B"/>
    <w:rsid w:val="001E49A3"/>
    <w:rsid w:val="001E4B45"/>
    <w:rsid w:val="001E4B8D"/>
    <w:rsid w:val="001E4BE3"/>
    <w:rsid w:val="001E4CEB"/>
    <w:rsid w:val="001E4F7D"/>
    <w:rsid w:val="001E50C7"/>
    <w:rsid w:val="001E50F2"/>
    <w:rsid w:val="001E5230"/>
    <w:rsid w:val="001E5265"/>
    <w:rsid w:val="001E55E5"/>
    <w:rsid w:val="001E576B"/>
    <w:rsid w:val="001E582F"/>
    <w:rsid w:val="001E58AB"/>
    <w:rsid w:val="001E593A"/>
    <w:rsid w:val="001E596A"/>
    <w:rsid w:val="001E5B44"/>
    <w:rsid w:val="001E5C34"/>
    <w:rsid w:val="001E5DE0"/>
    <w:rsid w:val="001E5E33"/>
    <w:rsid w:val="001E5E88"/>
    <w:rsid w:val="001E5F19"/>
    <w:rsid w:val="001E60BD"/>
    <w:rsid w:val="001E60E9"/>
    <w:rsid w:val="001E6254"/>
    <w:rsid w:val="001E6274"/>
    <w:rsid w:val="001E64D4"/>
    <w:rsid w:val="001E660B"/>
    <w:rsid w:val="001E6638"/>
    <w:rsid w:val="001E683F"/>
    <w:rsid w:val="001E69A0"/>
    <w:rsid w:val="001E6BDC"/>
    <w:rsid w:val="001E6CCB"/>
    <w:rsid w:val="001E6D4B"/>
    <w:rsid w:val="001E70C7"/>
    <w:rsid w:val="001E70D4"/>
    <w:rsid w:val="001E71C3"/>
    <w:rsid w:val="001E7289"/>
    <w:rsid w:val="001E73FA"/>
    <w:rsid w:val="001E76ED"/>
    <w:rsid w:val="001E78BC"/>
    <w:rsid w:val="001E78D6"/>
    <w:rsid w:val="001E78E6"/>
    <w:rsid w:val="001E791E"/>
    <w:rsid w:val="001E7B5B"/>
    <w:rsid w:val="001E7BF8"/>
    <w:rsid w:val="001E7D43"/>
    <w:rsid w:val="001E7D7E"/>
    <w:rsid w:val="001E7EA3"/>
    <w:rsid w:val="001F058B"/>
    <w:rsid w:val="001F086B"/>
    <w:rsid w:val="001F0C32"/>
    <w:rsid w:val="001F0CA0"/>
    <w:rsid w:val="001F0D66"/>
    <w:rsid w:val="001F1074"/>
    <w:rsid w:val="001F10E0"/>
    <w:rsid w:val="001F1161"/>
    <w:rsid w:val="001F1ABC"/>
    <w:rsid w:val="001F1B0E"/>
    <w:rsid w:val="001F1B1C"/>
    <w:rsid w:val="001F1BFD"/>
    <w:rsid w:val="001F1D14"/>
    <w:rsid w:val="001F1E99"/>
    <w:rsid w:val="001F1F29"/>
    <w:rsid w:val="001F203C"/>
    <w:rsid w:val="001F2153"/>
    <w:rsid w:val="001F22E0"/>
    <w:rsid w:val="001F23C3"/>
    <w:rsid w:val="001F25F0"/>
    <w:rsid w:val="001F26BE"/>
    <w:rsid w:val="001F2BCE"/>
    <w:rsid w:val="001F2C02"/>
    <w:rsid w:val="001F2C48"/>
    <w:rsid w:val="001F2DB8"/>
    <w:rsid w:val="001F2DE2"/>
    <w:rsid w:val="001F2DFC"/>
    <w:rsid w:val="001F2E20"/>
    <w:rsid w:val="001F2E33"/>
    <w:rsid w:val="001F318C"/>
    <w:rsid w:val="001F328B"/>
    <w:rsid w:val="001F32C3"/>
    <w:rsid w:val="001F3411"/>
    <w:rsid w:val="001F3606"/>
    <w:rsid w:val="001F3973"/>
    <w:rsid w:val="001F3A71"/>
    <w:rsid w:val="001F3AC4"/>
    <w:rsid w:val="001F3AEC"/>
    <w:rsid w:val="001F3B4D"/>
    <w:rsid w:val="001F3DAA"/>
    <w:rsid w:val="001F3F3B"/>
    <w:rsid w:val="001F3FDC"/>
    <w:rsid w:val="001F3FF7"/>
    <w:rsid w:val="001F40C0"/>
    <w:rsid w:val="001F4358"/>
    <w:rsid w:val="001F4454"/>
    <w:rsid w:val="001F44F4"/>
    <w:rsid w:val="001F4A29"/>
    <w:rsid w:val="001F4A3B"/>
    <w:rsid w:val="001F4B55"/>
    <w:rsid w:val="001F4C48"/>
    <w:rsid w:val="001F4C63"/>
    <w:rsid w:val="001F4D5F"/>
    <w:rsid w:val="001F4D80"/>
    <w:rsid w:val="001F4FAA"/>
    <w:rsid w:val="001F5003"/>
    <w:rsid w:val="001F541E"/>
    <w:rsid w:val="001F58A2"/>
    <w:rsid w:val="001F58F7"/>
    <w:rsid w:val="001F5953"/>
    <w:rsid w:val="001F5A24"/>
    <w:rsid w:val="001F5A39"/>
    <w:rsid w:val="001F5AC3"/>
    <w:rsid w:val="001F5B66"/>
    <w:rsid w:val="001F5C54"/>
    <w:rsid w:val="001F5FBC"/>
    <w:rsid w:val="001F5FE2"/>
    <w:rsid w:val="001F6176"/>
    <w:rsid w:val="001F62A0"/>
    <w:rsid w:val="001F6434"/>
    <w:rsid w:val="001F6464"/>
    <w:rsid w:val="001F64C1"/>
    <w:rsid w:val="001F651E"/>
    <w:rsid w:val="001F6855"/>
    <w:rsid w:val="001F689C"/>
    <w:rsid w:val="001F69EE"/>
    <w:rsid w:val="001F6B16"/>
    <w:rsid w:val="001F6CB3"/>
    <w:rsid w:val="001F6D30"/>
    <w:rsid w:val="001F7263"/>
    <w:rsid w:val="001F73B1"/>
    <w:rsid w:val="001F746C"/>
    <w:rsid w:val="001F76F8"/>
    <w:rsid w:val="001F77C4"/>
    <w:rsid w:val="001F77D2"/>
    <w:rsid w:val="001F77E3"/>
    <w:rsid w:val="001F7825"/>
    <w:rsid w:val="0020014B"/>
    <w:rsid w:val="0020071C"/>
    <w:rsid w:val="00200AE8"/>
    <w:rsid w:val="00200BAF"/>
    <w:rsid w:val="00200CE0"/>
    <w:rsid w:val="00200D3E"/>
    <w:rsid w:val="002011AA"/>
    <w:rsid w:val="002011E2"/>
    <w:rsid w:val="002012D7"/>
    <w:rsid w:val="00201642"/>
    <w:rsid w:val="00201C82"/>
    <w:rsid w:val="00201E71"/>
    <w:rsid w:val="002020B2"/>
    <w:rsid w:val="002024D2"/>
    <w:rsid w:val="00202561"/>
    <w:rsid w:val="0020259D"/>
    <w:rsid w:val="00202836"/>
    <w:rsid w:val="0020298E"/>
    <w:rsid w:val="00202A49"/>
    <w:rsid w:val="00202C5E"/>
    <w:rsid w:val="00202ECE"/>
    <w:rsid w:val="00202F26"/>
    <w:rsid w:val="00203454"/>
    <w:rsid w:val="0020346A"/>
    <w:rsid w:val="002034EF"/>
    <w:rsid w:val="002035CF"/>
    <w:rsid w:val="002036B7"/>
    <w:rsid w:val="00203A9B"/>
    <w:rsid w:val="00203DB6"/>
    <w:rsid w:val="0020435F"/>
    <w:rsid w:val="00204387"/>
    <w:rsid w:val="002043EA"/>
    <w:rsid w:val="002044BE"/>
    <w:rsid w:val="00204685"/>
    <w:rsid w:val="00204724"/>
    <w:rsid w:val="00204A1E"/>
    <w:rsid w:val="00204AF5"/>
    <w:rsid w:val="00204BC0"/>
    <w:rsid w:val="00204D82"/>
    <w:rsid w:val="00204F83"/>
    <w:rsid w:val="0020501E"/>
    <w:rsid w:val="0020516B"/>
    <w:rsid w:val="002054D7"/>
    <w:rsid w:val="002056C9"/>
    <w:rsid w:val="00205732"/>
    <w:rsid w:val="0020580C"/>
    <w:rsid w:val="0020586B"/>
    <w:rsid w:val="00205AD1"/>
    <w:rsid w:val="00205AFB"/>
    <w:rsid w:val="00205C57"/>
    <w:rsid w:val="00205CB3"/>
    <w:rsid w:val="00205CEE"/>
    <w:rsid w:val="00206113"/>
    <w:rsid w:val="002061D8"/>
    <w:rsid w:val="0020630E"/>
    <w:rsid w:val="00206332"/>
    <w:rsid w:val="002065A5"/>
    <w:rsid w:val="002066FE"/>
    <w:rsid w:val="00206A68"/>
    <w:rsid w:val="00206B5D"/>
    <w:rsid w:val="002072AE"/>
    <w:rsid w:val="002073E2"/>
    <w:rsid w:val="0020747C"/>
    <w:rsid w:val="002075B1"/>
    <w:rsid w:val="00207671"/>
    <w:rsid w:val="0020773D"/>
    <w:rsid w:val="002077B6"/>
    <w:rsid w:val="00207856"/>
    <w:rsid w:val="0020794A"/>
    <w:rsid w:val="00207CB0"/>
    <w:rsid w:val="00207EA5"/>
    <w:rsid w:val="00207EA9"/>
    <w:rsid w:val="00210221"/>
    <w:rsid w:val="0021022E"/>
    <w:rsid w:val="002102DF"/>
    <w:rsid w:val="00210415"/>
    <w:rsid w:val="00210490"/>
    <w:rsid w:val="002104B3"/>
    <w:rsid w:val="002105EE"/>
    <w:rsid w:val="002107A7"/>
    <w:rsid w:val="00210838"/>
    <w:rsid w:val="0021083F"/>
    <w:rsid w:val="00210851"/>
    <w:rsid w:val="00210CAF"/>
    <w:rsid w:val="00210D13"/>
    <w:rsid w:val="00210EAD"/>
    <w:rsid w:val="00210F3B"/>
    <w:rsid w:val="00211167"/>
    <w:rsid w:val="002111BC"/>
    <w:rsid w:val="00211247"/>
    <w:rsid w:val="00211282"/>
    <w:rsid w:val="00211901"/>
    <w:rsid w:val="00211A4D"/>
    <w:rsid w:val="00211B86"/>
    <w:rsid w:val="00211DFA"/>
    <w:rsid w:val="00211E42"/>
    <w:rsid w:val="00211EB1"/>
    <w:rsid w:val="00212122"/>
    <w:rsid w:val="0021218C"/>
    <w:rsid w:val="00212670"/>
    <w:rsid w:val="0021277A"/>
    <w:rsid w:val="00212BBA"/>
    <w:rsid w:val="00212EF8"/>
    <w:rsid w:val="00212F5D"/>
    <w:rsid w:val="002130FD"/>
    <w:rsid w:val="00213134"/>
    <w:rsid w:val="002131EF"/>
    <w:rsid w:val="00213211"/>
    <w:rsid w:val="0021323C"/>
    <w:rsid w:val="00213534"/>
    <w:rsid w:val="00213AF8"/>
    <w:rsid w:val="00213B7B"/>
    <w:rsid w:val="00213B9C"/>
    <w:rsid w:val="002146C2"/>
    <w:rsid w:val="002149D9"/>
    <w:rsid w:val="00214A8A"/>
    <w:rsid w:val="00214AD0"/>
    <w:rsid w:val="00214C2F"/>
    <w:rsid w:val="00214EC6"/>
    <w:rsid w:val="002150C2"/>
    <w:rsid w:val="00215499"/>
    <w:rsid w:val="002155F9"/>
    <w:rsid w:val="002157A9"/>
    <w:rsid w:val="002158B8"/>
    <w:rsid w:val="00215C3C"/>
    <w:rsid w:val="00215C80"/>
    <w:rsid w:val="00215CA5"/>
    <w:rsid w:val="00215DC8"/>
    <w:rsid w:val="00215F35"/>
    <w:rsid w:val="0021639D"/>
    <w:rsid w:val="00216435"/>
    <w:rsid w:val="00216439"/>
    <w:rsid w:val="00216455"/>
    <w:rsid w:val="0021649D"/>
    <w:rsid w:val="002164F5"/>
    <w:rsid w:val="002165B6"/>
    <w:rsid w:val="0021661F"/>
    <w:rsid w:val="002166B0"/>
    <w:rsid w:val="00216C1F"/>
    <w:rsid w:val="00216C6A"/>
    <w:rsid w:val="00216D46"/>
    <w:rsid w:val="00216E36"/>
    <w:rsid w:val="00217152"/>
    <w:rsid w:val="0021718E"/>
    <w:rsid w:val="002172B6"/>
    <w:rsid w:val="002172BC"/>
    <w:rsid w:val="00217333"/>
    <w:rsid w:val="00217348"/>
    <w:rsid w:val="00217585"/>
    <w:rsid w:val="0021764D"/>
    <w:rsid w:val="002177FE"/>
    <w:rsid w:val="00217802"/>
    <w:rsid w:val="00217816"/>
    <w:rsid w:val="002179C4"/>
    <w:rsid w:val="00217BF3"/>
    <w:rsid w:val="00217CD8"/>
    <w:rsid w:val="00217CF5"/>
    <w:rsid w:val="00217DFF"/>
    <w:rsid w:val="00217E84"/>
    <w:rsid w:val="00217E96"/>
    <w:rsid w:val="002201FC"/>
    <w:rsid w:val="00220995"/>
    <w:rsid w:val="00220A6B"/>
    <w:rsid w:val="00220B36"/>
    <w:rsid w:val="00220D77"/>
    <w:rsid w:val="00220E17"/>
    <w:rsid w:val="00220E1F"/>
    <w:rsid w:val="0022113E"/>
    <w:rsid w:val="00221226"/>
    <w:rsid w:val="0022146E"/>
    <w:rsid w:val="002214A6"/>
    <w:rsid w:val="0022162A"/>
    <w:rsid w:val="00221866"/>
    <w:rsid w:val="0022199A"/>
    <w:rsid w:val="00221A82"/>
    <w:rsid w:val="00221AB9"/>
    <w:rsid w:val="00221C1A"/>
    <w:rsid w:val="00221C1E"/>
    <w:rsid w:val="00221CAA"/>
    <w:rsid w:val="00221D62"/>
    <w:rsid w:val="00221F05"/>
    <w:rsid w:val="00222071"/>
    <w:rsid w:val="00222085"/>
    <w:rsid w:val="00222310"/>
    <w:rsid w:val="00222602"/>
    <w:rsid w:val="0022297E"/>
    <w:rsid w:val="00222C75"/>
    <w:rsid w:val="00222D20"/>
    <w:rsid w:val="00222D28"/>
    <w:rsid w:val="00222F5F"/>
    <w:rsid w:val="00223050"/>
    <w:rsid w:val="00223080"/>
    <w:rsid w:val="002232EF"/>
    <w:rsid w:val="002232F5"/>
    <w:rsid w:val="002233FD"/>
    <w:rsid w:val="0022353E"/>
    <w:rsid w:val="002236CB"/>
    <w:rsid w:val="002239C5"/>
    <w:rsid w:val="00223A2C"/>
    <w:rsid w:val="00223BD4"/>
    <w:rsid w:val="00223C13"/>
    <w:rsid w:val="00223D07"/>
    <w:rsid w:val="00223EB3"/>
    <w:rsid w:val="00223F2D"/>
    <w:rsid w:val="00223FED"/>
    <w:rsid w:val="00224085"/>
    <w:rsid w:val="002240CD"/>
    <w:rsid w:val="00224143"/>
    <w:rsid w:val="00224195"/>
    <w:rsid w:val="00224389"/>
    <w:rsid w:val="002244C1"/>
    <w:rsid w:val="002247F9"/>
    <w:rsid w:val="00224861"/>
    <w:rsid w:val="00224983"/>
    <w:rsid w:val="002249C6"/>
    <w:rsid w:val="00224AD4"/>
    <w:rsid w:val="00224D12"/>
    <w:rsid w:val="00224E51"/>
    <w:rsid w:val="0022500E"/>
    <w:rsid w:val="00225029"/>
    <w:rsid w:val="00225044"/>
    <w:rsid w:val="00225784"/>
    <w:rsid w:val="0022594E"/>
    <w:rsid w:val="00225E02"/>
    <w:rsid w:val="00225E26"/>
    <w:rsid w:val="002261A5"/>
    <w:rsid w:val="00226316"/>
    <w:rsid w:val="002264E9"/>
    <w:rsid w:val="00226521"/>
    <w:rsid w:val="0022664B"/>
    <w:rsid w:val="00226764"/>
    <w:rsid w:val="002267FC"/>
    <w:rsid w:val="00226BE1"/>
    <w:rsid w:val="00226D0C"/>
    <w:rsid w:val="00226E48"/>
    <w:rsid w:val="002270FC"/>
    <w:rsid w:val="0022710E"/>
    <w:rsid w:val="0022719B"/>
    <w:rsid w:val="002271A0"/>
    <w:rsid w:val="00227206"/>
    <w:rsid w:val="0022766B"/>
    <w:rsid w:val="00227AF8"/>
    <w:rsid w:val="00227D91"/>
    <w:rsid w:val="00227FA1"/>
    <w:rsid w:val="002300A7"/>
    <w:rsid w:val="002301D5"/>
    <w:rsid w:val="0023054C"/>
    <w:rsid w:val="002305C6"/>
    <w:rsid w:val="0023074C"/>
    <w:rsid w:val="00230799"/>
    <w:rsid w:val="00230915"/>
    <w:rsid w:val="00230DC9"/>
    <w:rsid w:val="00230DD7"/>
    <w:rsid w:val="00230EA2"/>
    <w:rsid w:val="00230EC0"/>
    <w:rsid w:val="00230F7D"/>
    <w:rsid w:val="002313D1"/>
    <w:rsid w:val="0023158C"/>
    <w:rsid w:val="002317CE"/>
    <w:rsid w:val="002317F7"/>
    <w:rsid w:val="00231B9A"/>
    <w:rsid w:val="00231E8E"/>
    <w:rsid w:val="00231EB5"/>
    <w:rsid w:val="00232177"/>
    <w:rsid w:val="00232219"/>
    <w:rsid w:val="0023287C"/>
    <w:rsid w:val="0023293D"/>
    <w:rsid w:val="00232A43"/>
    <w:rsid w:val="00232C52"/>
    <w:rsid w:val="00232CA2"/>
    <w:rsid w:val="00232CC8"/>
    <w:rsid w:val="00232D55"/>
    <w:rsid w:val="00232F06"/>
    <w:rsid w:val="00232F36"/>
    <w:rsid w:val="002330CB"/>
    <w:rsid w:val="00233149"/>
    <w:rsid w:val="002332F0"/>
    <w:rsid w:val="0023347E"/>
    <w:rsid w:val="002336AB"/>
    <w:rsid w:val="002338EF"/>
    <w:rsid w:val="00233A49"/>
    <w:rsid w:val="00233EC8"/>
    <w:rsid w:val="00234392"/>
    <w:rsid w:val="0023443F"/>
    <w:rsid w:val="00234498"/>
    <w:rsid w:val="002344F0"/>
    <w:rsid w:val="0023453B"/>
    <w:rsid w:val="00234993"/>
    <w:rsid w:val="00234A52"/>
    <w:rsid w:val="00234A5F"/>
    <w:rsid w:val="00234A65"/>
    <w:rsid w:val="00234D7D"/>
    <w:rsid w:val="00234D96"/>
    <w:rsid w:val="00234E65"/>
    <w:rsid w:val="00234F20"/>
    <w:rsid w:val="00234F21"/>
    <w:rsid w:val="002350DE"/>
    <w:rsid w:val="0023510F"/>
    <w:rsid w:val="00235159"/>
    <w:rsid w:val="002352F9"/>
    <w:rsid w:val="00235488"/>
    <w:rsid w:val="0023557C"/>
    <w:rsid w:val="00235D0F"/>
    <w:rsid w:val="00235DE9"/>
    <w:rsid w:val="0023600B"/>
    <w:rsid w:val="002361FB"/>
    <w:rsid w:val="0023625B"/>
    <w:rsid w:val="00236428"/>
    <w:rsid w:val="00236460"/>
    <w:rsid w:val="00236461"/>
    <w:rsid w:val="002364CF"/>
    <w:rsid w:val="002364EE"/>
    <w:rsid w:val="0023662D"/>
    <w:rsid w:val="00236778"/>
    <w:rsid w:val="002367EC"/>
    <w:rsid w:val="00236918"/>
    <w:rsid w:val="002369A4"/>
    <w:rsid w:val="00236B22"/>
    <w:rsid w:val="00236B98"/>
    <w:rsid w:val="00236BFD"/>
    <w:rsid w:val="00236EEC"/>
    <w:rsid w:val="0023707C"/>
    <w:rsid w:val="002371F6"/>
    <w:rsid w:val="0023720B"/>
    <w:rsid w:val="0023735B"/>
    <w:rsid w:val="00237497"/>
    <w:rsid w:val="00237577"/>
    <w:rsid w:val="002375B2"/>
    <w:rsid w:val="002376F2"/>
    <w:rsid w:val="00237739"/>
    <w:rsid w:val="002377AB"/>
    <w:rsid w:val="002377EE"/>
    <w:rsid w:val="002377F1"/>
    <w:rsid w:val="00237A8A"/>
    <w:rsid w:val="00237C37"/>
    <w:rsid w:val="00237CCC"/>
    <w:rsid w:val="00237CF9"/>
    <w:rsid w:val="00237D9C"/>
    <w:rsid w:val="00237F21"/>
    <w:rsid w:val="00237FCF"/>
    <w:rsid w:val="00240100"/>
    <w:rsid w:val="002401E4"/>
    <w:rsid w:val="002402FC"/>
    <w:rsid w:val="0024034F"/>
    <w:rsid w:val="002405E2"/>
    <w:rsid w:val="002407FD"/>
    <w:rsid w:val="00240A0A"/>
    <w:rsid w:val="00240CED"/>
    <w:rsid w:val="00240D33"/>
    <w:rsid w:val="00240DEE"/>
    <w:rsid w:val="00240E10"/>
    <w:rsid w:val="00240F3C"/>
    <w:rsid w:val="00241191"/>
    <w:rsid w:val="002411D9"/>
    <w:rsid w:val="002411E9"/>
    <w:rsid w:val="00241282"/>
    <w:rsid w:val="002415B7"/>
    <w:rsid w:val="002415C6"/>
    <w:rsid w:val="00241709"/>
    <w:rsid w:val="00241807"/>
    <w:rsid w:val="00241A23"/>
    <w:rsid w:val="00241B36"/>
    <w:rsid w:val="00241C62"/>
    <w:rsid w:val="00241E55"/>
    <w:rsid w:val="00241E59"/>
    <w:rsid w:val="00241EE7"/>
    <w:rsid w:val="00241F3A"/>
    <w:rsid w:val="00241F64"/>
    <w:rsid w:val="00241FD6"/>
    <w:rsid w:val="00241FD9"/>
    <w:rsid w:val="00242163"/>
    <w:rsid w:val="0024224F"/>
    <w:rsid w:val="0024225D"/>
    <w:rsid w:val="0024235F"/>
    <w:rsid w:val="00242403"/>
    <w:rsid w:val="0024292B"/>
    <w:rsid w:val="002429A7"/>
    <w:rsid w:val="00242A18"/>
    <w:rsid w:val="00242A39"/>
    <w:rsid w:val="00242A72"/>
    <w:rsid w:val="00242E60"/>
    <w:rsid w:val="00243084"/>
    <w:rsid w:val="002430CE"/>
    <w:rsid w:val="00243120"/>
    <w:rsid w:val="00243151"/>
    <w:rsid w:val="00243314"/>
    <w:rsid w:val="002433F7"/>
    <w:rsid w:val="0024358A"/>
    <w:rsid w:val="0024365E"/>
    <w:rsid w:val="0024391D"/>
    <w:rsid w:val="002439F7"/>
    <w:rsid w:val="00243B6A"/>
    <w:rsid w:val="00243C3B"/>
    <w:rsid w:val="00243ECC"/>
    <w:rsid w:val="00243F14"/>
    <w:rsid w:val="00244041"/>
    <w:rsid w:val="00244060"/>
    <w:rsid w:val="0024438B"/>
    <w:rsid w:val="00244698"/>
    <w:rsid w:val="002446B6"/>
    <w:rsid w:val="00244714"/>
    <w:rsid w:val="00244753"/>
    <w:rsid w:val="00244AC6"/>
    <w:rsid w:val="00244F4F"/>
    <w:rsid w:val="002450D4"/>
    <w:rsid w:val="002450F6"/>
    <w:rsid w:val="0024510F"/>
    <w:rsid w:val="0024511A"/>
    <w:rsid w:val="00245221"/>
    <w:rsid w:val="002452D1"/>
    <w:rsid w:val="002452EE"/>
    <w:rsid w:val="00245355"/>
    <w:rsid w:val="002453D4"/>
    <w:rsid w:val="002455E4"/>
    <w:rsid w:val="00245C13"/>
    <w:rsid w:val="00245CE3"/>
    <w:rsid w:val="00245D91"/>
    <w:rsid w:val="00245E33"/>
    <w:rsid w:val="00245EB7"/>
    <w:rsid w:val="0024611C"/>
    <w:rsid w:val="0024625E"/>
    <w:rsid w:val="002462F8"/>
    <w:rsid w:val="00246607"/>
    <w:rsid w:val="00246734"/>
    <w:rsid w:val="00246768"/>
    <w:rsid w:val="00246870"/>
    <w:rsid w:val="00246871"/>
    <w:rsid w:val="002468FD"/>
    <w:rsid w:val="00246AE7"/>
    <w:rsid w:val="00246D48"/>
    <w:rsid w:val="00246D8E"/>
    <w:rsid w:val="00246F3B"/>
    <w:rsid w:val="00247104"/>
    <w:rsid w:val="002472A0"/>
    <w:rsid w:val="00247691"/>
    <w:rsid w:val="002477C7"/>
    <w:rsid w:val="002477D4"/>
    <w:rsid w:val="00247818"/>
    <w:rsid w:val="0024798B"/>
    <w:rsid w:val="00247B52"/>
    <w:rsid w:val="00247D76"/>
    <w:rsid w:val="00250184"/>
    <w:rsid w:val="002502CA"/>
    <w:rsid w:val="00250487"/>
    <w:rsid w:val="00250735"/>
    <w:rsid w:val="00250820"/>
    <w:rsid w:val="002508DA"/>
    <w:rsid w:val="00250934"/>
    <w:rsid w:val="00250EA3"/>
    <w:rsid w:val="00250F7B"/>
    <w:rsid w:val="00251080"/>
    <w:rsid w:val="00251412"/>
    <w:rsid w:val="00251741"/>
    <w:rsid w:val="0025187D"/>
    <w:rsid w:val="0025194C"/>
    <w:rsid w:val="00251A70"/>
    <w:rsid w:val="00251AB4"/>
    <w:rsid w:val="00251BB7"/>
    <w:rsid w:val="00251FB7"/>
    <w:rsid w:val="00252052"/>
    <w:rsid w:val="002520A3"/>
    <w:rsid w:val="002521CF"/>
    <w:rsid w:val="00252207"/>
    <w:rsid w:val="0025232F"/>
    <w:rsid w:val="00252476"/>
    <w:rsid w:val="0025272E"/>
    <w:rsid w:val="00252884"/>
    <w:rsid w:val="00252CDE"/>
    <w:rsid w:val="00252D6E"/>
    <w:rsid w:val="00252E59"/>
    <w:rsid w:val="00252E84"/>
    <w:rsid w:val="00252EC6"/>
    <w:rsid w:val="00253061"/>
    <w:rsid w:val="00253379"/>
    <w:rsid w:val="002537F9"/>
    <w:rsid w:val="002539C2"/>
    <w:rsid w:val="002539DA"/>
    <w:rsid w:val="002539E5"/>
    <w:rsid w:val="00253B7B"/>
    <w:rsid w:val="00253E5A"/>
    <w:rsid w:val="00253FF4"/>
    <w:rsid w:val="0025406B"/>
    <w:rsid w:val="002540A5"/>
    <w:rsid w:val="0025416B"/>
    <w:rsid w:val="002542E8"/>
    <w:rsid w:val="0025437B"/>
    <w:rsid w:val="002543B8"/>
    <w:rsid w:val="00254458"/>
    <w:rsid w:val="0025470A"/>
    <w:rsid w:val="002547C2"/>
    <w:rsid w:val="00254A75"/>
    <w:rsid w:val="00254B14"/>
    <w:rsid w:val="0025536A"/>
    <w:rsid w:val="00255427"/>
    <w:rsid w:val="00255694"/>
    <w:rsid w:val="00255970"/>
    <w:rsid w:val="002559FD"/>
    <w:rsid w:val="00255A24"/>
    <w:rsid w:val="00255C52"/>
    <w:rsid w:val="00255CE8"/>
    <w:rsid w:val="00255DD3"/>
    <w:rsid w:val="002560A7"/>
    <w:rsid w:val="00256168"/>
    <w:rsid w:val="0025645D"/>
    <w:rsid w:val="002567E8"/>
    <w:rsid w:val="002568A9"/>
    <w:rsid w:val="002568F1"/>
    <w:rsid w:val="00256A56"/>
    <w:rsid w:val="00256C0E"/>
    <w:rsid w:val="00256C1E"/>
    <w:rsid w:val="00257057"/>
    <w:rsid w:val="00257195"/>
    <w:rsid w:val="002571EE"/>
    <w:rsid w:val="0025729F"/>
    <w:rsid w:val="00257340"/>
    <w:rsid w:val="00257364"/>
    <w:rsid w:val="00257487"/>
    <w:rsid w:val="002575FD"/>
    <w:rsid w:val="0025774E"/>
    <w:rsid w:val="0025777A"/>
    <w:rsid w:val="00257868"/>
    <w:rsid w:val="002579BF"/>
    <w:rsid w:val="002579F1"/>
    <w:rsid w:val="00257D86"/>
    <w:rsid w:val="0026004F"/>
    <w:rsid w:val="002601AD"/>
    <w:rsid w:val="002601B4"/>
    <w:rsid w:val="00260202"/>
    <w:rsid w:val="00260275"/>
    <w:rsid w:val="002603D6"/>
    <w:rsid w:val="002605F9"/>
    <w:rsid w:val="002608C3"/>
    <w:rsid w:val="00260A82"/>
    <w:rsid w:val="00260FA8"/>
    <w:rsid w:val="00261038"/>
    <w:rsid w:val="00261115"/>
    <w:rsid w:val="0026111B"/>
    <w:rsid w:val="0026116D"/>
    <w:rsid w:val="00261600"/>
    <w:rsid w:val="00261A3E"/>
    <w:rsid w:val="00261A99"/>
    <w:rsid w:val="00261B22"/>
    <w:rsid w:val="00261DB6"/>
    <w:rsid w:val="00261E98"/>
    <w:rsid w:val="00261FB3"/>
    <w:rsid w:val="0026205F"/>
    <w:rsid w:val="002620AC"/>
    <w:rsid w:val="00262105"/>
    <w:rsid w:val="002623C4"/>
    <w:rsid w:val="002623DE"/>
    <w:rsid w:val="00262615"/>
    <w:rsid w:val="0026276B"/>
    <w:rsid w:val="002627A6"/>
    <w:rsid w:val="002627A9"/>
    <w:rsid w:val="002627F8"/>
    <w:rsid w:val="002629EA"/>
    <w:rsid w:val="00262B51"/>
    <w:rsid w:val="00262BC7"/>
    <w:rsid w:val="00263165"/>
    <w:rsid w:val="0026344D"/>
    <w:rsid w:val="002635E2"/>
    <w:rsid w:val="0026381F"/>
    <w:rsid w:val="00263B74"/>
    <w:rsid w:val="00263CF9"/>
    <w:rsid w:val="00263E9A"/>
    <w:rsid w:val="00263FA2"/>
    <w:rsid w:val="002640FB"/>
    <w:rsid w:val="0026421D"/>
    <w:rsid w:val="00264387"/>
    <w:rsid w:val="00264589"/>
    <w:rsid w:val="002645B7"/>
    <w:rsid w:val="0026462D"/>
    <w:rsid w:val="0026469A"/>
    <w:rsid w:val="00264806"/>
    <w:rsid w:val="00264A81"/>
    <w:rsid w:val="00264AC4"/>
    <w:rsid w:val="00264C9A"/>
    <w:rsid w:val="00265031"/>
    <w:rsid w:val="00265208"/>
    <w:rsid w:val="00265223"/>
    <w:rsid w:val="002653F8"/>
    <w:rsid w:val="00265767"/>
    <w:rsid w:val="00265A37"/>
    <w:rsid w:val="00265C8B"/>
    <w:rsid w:val="00265DED"/>
    <w:rsid w:val="002660C9"/>
    <w:rsid w:val="002661E7"/>
    <w:rsid w:val="0026638E"/>
    <w:rsid w:val="00266799"/>
    <w:rsid w:val="0026694D"/>
    <w:rsid w:val="00266B6D"/>
    <w:rsid w:val="00266C72"/>
    <w:rsid w:val="00266E4E"/>
    <w:rsid w:val="00266FA9"/>
    <w:rsid w:val="00267000"/>
    <w:rsid w:val="00267191"/>
    <w:rsid w:val="0026719D"/>
    <w:rsid w:val="00267246"/>
    <w:rsid w:val="00267299"/>
    <w:rsid w:val="00267396"/>
    <w:rsid w:val="00267527"/>
    <w:rsid w:val="0026752B"/>
    <w:rsid w:val="00267592"/>
    <w:rsid w:val="00267701"/>
    <w:rsid w:val="00267756"/>
    <w:rsid w:val="002677DD"/>
    <w:rsid w:val="002677F3"/>
    <w:rsid w:val="00267AE7"/>
    <w:rsid w:val="00267D38"/>
    <w:rsid w:val="00267D4E"/>
    <w:rsid w:val="00267FE3"/>
    <w:rsid w:val="00267FF2"/>
    <w:rsid w:val="00270123"/>
    <w:rsid w:val="0027014A"/>
    <w:rsid w:val="0027029C"/>
    <w:rsid w:val="00270380"/>
    <w:rsid w:val="00270494"/>
    <w:rsid w:val="00270513"/>
    <w:rsid w:val="00270789"/>
    <w:rsid w:val="00270954"/>
    <w:rsid w:val="0027098C"/>
    <w:rsid w:val="00270A05"/>
    <w:rsid w:val="00270DE8"/>
    <w:rsid w:val="00270E04"/>
    <w:rsid w:val="00270E77"/>
    <w:rsid w:val="00270EA0"/>
    <w:rsid w:val="00270F8F"/>
    <w:rsid w:val="0027123A"/>
    <w:rsid w:val="00271369"/>
    <w:rsid w:val="0027150E"/>
    <w:rsid w:val="00271558"/>
    <w:rsid w:val="002718EA"/>
    <w:rsid w:val="00271A03"/>
    <w:rsid w:val="00271A5D"/>
    <w:rsid w:val="00271AD8"/>
    <w:rsid w:val="00271E37"/>
    <w:rsid w:val="00271ED3"/>
    <w:rsid w:val="00271EED"/>
    <w:rsid w:val="00271F38"/>
    <w:rsid w:val="00271F59"/>
    <w:rsid w:val="0027206F"/>
    <w:rsid w:val="002722AF"/>
    <w:rsid w:val="002722C4"/>
    <w:rsid w:val="002722CA"/>
    <w:rsid w:val="00272531"/>
    <w:rsid w:val="002725D0"/>
    <w:rsid w:val="00272815"/>
    <w:rsid w:val="0027287A"/>
    <w:rsid w:val="0027291F"/>
    <w:rsid w:val="00272934"/>
    <w:rsid w:val="00272B8F"/>
    <w:rsid w:val="00272C2C"/>
    <w:rsid w:val="00272C68"/>
    <w:rsid w:val="00272CDA"/>
    <w:rsid w:val="00272CF5"/>
    <w:rsid w:val="00273050"/>
    <w:rsid w:val="00273065"/>
    <w:rsid w:val="002730DE"/>
    <w:rsid w:val="002731A6"/>
    <w:rsid w:val="002731BA"/>
    <w:rsid w:val="002732C4"/>
    <w:rsid w:val="002735B0"/>
    <w:rsid w:val="002735F5"/>
    <w:rsid w:val="0027389C"/>
    <w:rsid w:val="00273B04"/>
    <w:rsid w:val="00273BD1"/>
    <w:rsid w:val="00273CF0"/>
    <w:rsid w:val="00273DDD"/>
    <w:rsid w:val="00274003"/>
    <w:rsid w:val="002740B8"/>
    <w:rsid w:val="00274123"/>
    <w:rsid w:val="0027416A"/>
    <w:rsid w:val="002742AE"/>
    <w:rsid w:val="00274318"/>
    <w:rsid w:val="00274634"/>
    <w:rsid w:val="00274692"/>
    <w:rsid w:val="002746EB"/>
    <w:rsid w:val="00274AD4"/>
    <w:rsid w:val="00274AE7"/>
    <w:rsid w:val="00274BB1"/>
    <w:rsid w:val="00274BEF"/>
    <w:rsid w:val="00274EB5"/>
    <w:rsid w:val="002750E9"/>
    <w:rsid w:val="00275106"/>
    <w:rsid w:val="002752F7"/>
    <w:rsid w:val="00275600"/>
    <w:rsid w:val="00275651"/>
    <w:rsid w:val="0027577C"/>
    <w:rsid w:val="00275807"/>
    <w:rsid w:val="00275951"/>
    <w:rsid w:val="00275A90"/>
    <w:rsid w:val="00275B91"/>
    <w:rsid w:val="00275C11"/>
    <w:rsid w:val="00275DAC"/>
    <w:rsid w:val="00276012"/>
    <w:rsid w:val="002760B3"/>
    <w:rsid w:val="0027627C"/>
    <w:rsid w:val="002762D4"/>
    <w:rsid w:val="00276661"/>
    <w:rsid w:val="002768D2"/>
    <w:rsid w:val="002769C6"/>
    <w:rsid w:val="00276AAA"/>
    <w:rsid w:val="00276BC9"/>
    <w:rsid w:val="00276D3C"/>
    <w:rsid w:val="00276D6F"/>
    <w:rsid w:val="00276DA8"/>
    <w:rsid w:val="00276E14"/>
    <w:rsid w:val="00276E72"/>
    <w:rsid w:val="00277132"/>
    <w:rsid w:val="002771CA"/>
    <w:rsid w:val="0027721D"/>
    <w:rsid w:val="0027733C"/>
    <w:rsid w:val="002775FA"/>
    <w:rsid w:val="00277788"/>
    <w:rsid w:val="002778E3"/>
    <w:rsid w:val="00277A97"/>
    <w:rsid w:val="00277B71"/>
    <w:rsid w:val="00277DE6"/>
    <w:rsid w:val="00277E58"/>
    <w:rsid w:val="00280121"/>
    <w:rsid w:val="00280276"/>
    <w:rsid w:val="002803D1"/>
    <w:rsid w:val="00280631"/>
    <w:rsid w:val="0028080F"/>
    <w:rsid w:val="00280835"/>
    <w:rsid w:val="0028085E"/>
    <w:rsid w:val="002808E2"/>
    <w:rsid w:val="00280ACF"/>
    <w:rsid w:val="00280BD7"/>
    <w:rsid w:val="00280C16"/>
    <w:rsid w:val="00280D49"/>
    <w:rsid w:val="00280E37"/>
    <w:rsid w:val="00280E5B"/>
    <w:rsid w:val="00281037"/>
    <w:rsid w:val="00281067"/>
    <w:rsid w:val="002810D5"/>
    <w:rsid w:val="0028129A"/>
    <w:rsid w:val="002815FB"/>
    <w:rsid w:val="00281692"/>
    <w:rsid w:val="002817E8"/>
    <w:rsid w:val="00281AAD"/>
    <w:rsid w:val="00281CEA"/>
    <w:rsid w:val="00281FC9"/>
    <w:rsid w:val="00282005"/>
    <w:rsid w:val="00282012"/>
    <w:rsid w:val="00282248"/>
    <w:rsid w:val="00282294"/>
    <w:rsid w:val="002826BB"/>
    <w:rsid w:val="002827E3"/>
    <w:rsid w:val="002829FC"/>
    <w:rsid w:val="00282BD4"/>
    <w:rsid w:val="00282BEB"/>
    <w:rsid w:val="00282C34"/>
    <w:rsid w:val="00282DF4"/>
    <w:rsid w:val="00283203"/>
    <w:rsid w:val="0028326B"/>
    <w:rsid w:val="002833B9"/>
    <w:rsid w:val="00283452"/>
    <w:rsid w:val="002836C5"/>
    <w:rsid w:val="00283905"/>
    <w:rsid w:val="002839A4"/>
    <w:rsid w:val="00283ACA"/>
    <w:rsid w:val="00283D21"/>
    <w:rsid w:val="00283D90"/>
    <w:rsid w:val="002840F4"/>
    <w:rsid w:val="0028424B"/>
    <w:rsid w:val="0028433E"/>
    <w:rsid w:val="002844FA"/>
    <w:rsid w:val="00284531"/>
    <w:rsid w:val="00284551"/>
    <w:rsid w:val="00284CBA"/>
    <w:rsid w:val="00284CD4"/>
    <w:rsid w:val="0028504B"/>
    <w:rsid w:val="00285068"/>
    <w:rsid w:val="00285173"/>
    <w:rsid w:val="00285365"/>
    <w:rsid w:val="00285490"/>
    <w:rsid w:val="00285A01"/>
    <w:rsid w:val="00285ABF"/>
    <w:rsid w:val="00285BAE"/>
    <w:rsid w:val="00285BC3"/>
    <w:rsid w:val="00285D15"/>
    <w:rsid w:val="00285F4E"/>
    <w:rsid w:val="00285F67"/>
    <w:rsid w:val="0028617C"/>
    <w:rsid w:val="0028689A"/>
    <w:rsid w:val="002869DC"/>
    <w:rsid w:val="00286CE8"/>
    <w:rsid w:val="00286EED"/>
    <w:rsid w:val="00287004"/>
    <w:rsid w:val="00287034"/>
    <w:rsid w:val="0028712F"/>
    <w:rsid w:val="002871BD"/>
    <w:rsid w:val="0028721B"/>
    <w:rsid w:val="0028726E"/>
    <w:rsid w:val="00287300"/>
    <w:rsid w:val="0028745B"/>
    <w:rsid w:val="002874FE"/>
    <w:rsid w:val="002876D3"/>
    <w:rsid w:val="002877D4"/>
    <w:rsid w:val="00287815"/>
    <w:rsid w:val="00287A98"/>
    <w:rsid w:val="00287C6F"/>
    <w:rsid w:val="00287CB6"/>
    <w:rsid w:val="00287F39"/>
    <w:rsid w:val="00290117"/>
    <w:rsid w:val="00290161"/>
    <w:rsid w:val="00290314"/>
    <w:rsid w:val="00290473"/>
    <w:rsid w:val="002904DD"/>
    <w:rsid w:val="002905B0"/>
    <w:rsid w:val="002907F5"/>
    <w:rsid w:val="00290948"/>
    <w:rsid w:val="00290A77"/>
    <w:rsid w:val="00290CAA"/>
    <w:rsid w:val="00290EBD"/>
    <w:rsid w:val="00291164"/>
    <w:rsid w:val="002911DE"/>
    <w:rsid w:val="002912E1"/>
    <w:rsid w:val="00291402"/>
    <w:rsid w:val="0029167F"/>
    <w:rsid w:val="00291686"/>
    <w:rsid w:val="00291770"/>
    <w:rsid w:val="00291928"/>
    <w:rsid w:val="002919C7"/>
    <w:rsid w:val="00291A68"/>
    <w:rsid w:val="00291E80"/>
    <w:rsid w:val="00291F81"/>
    <w:rsid w:val="002921BA"/>
    <w:rsid w:val="00292461"/>
    <w:rsid w:val="002924A1"/>
    <w:rsid w:val="00292583"/>
    <w:rsid w:val="002925EA"/>
    <w:rsid w:val="00292644"/>
    <w:rsid w:val="002926AE"/>
    <w:rsid w:val="002927EE"/>
    <w:rsid w:val="002929FF"/>
    <w:rsid w:val="00292C59"/>
    <w:rsid w:val="00292CA2"/>
    <w:rsid w:val="00292E8C"/>
    <w:rsid w:val="00292EB9"/>
    <w:rsid w:val="00292EBF"/>
    <w:rsid w:val="0029350F"/>
    <w:rsid w:val="0029365A"/>
    <w:rsid w:val="002937D0"/>
    <w:rsid w:val="0029381B"/>
    <w:rsid w:val="00293862"/>
    <w:rsid w:val="00293956"/>
    <w:rsid w:val="00293B52"/>
    <w:rsid w:val="00293B95"/>
    <w:rsid w:val="00293C67"/>
    <w:rsid w:val="00293EC0"/>
    <w:rsid w:val="0029402F"/>
    <w:rsid w:val="00294153"/>
    <w:rsid w:val="00294292"/>
    <w:rsid w:val="00294662"/>
    <w:rsid w:val="00294730"/>
    <w:rsid w:val="0029483A"/>
    <w:rsid w:val="00294DCC"/>
    <w:rsid w:val="00294EFD"/>
    <w:rsid w:val="00295063"/>
    <w:rsid w:val="0029512E"/>
    <w:rsid w:val="0029520D"/>
    <w:rsid w:val="002954FC"/>
    <w:rsid w:val="00295548"/>
    <w:rsid w:val="002955E2"/>
    <w:rsid w:val="002956C1"/>
    <w:rsid w:val="0029572F"/>
    <w:rsid w:val="002958B2"/>
    <w:rsid w:val="00295918"/>
    <w:rsid w:val="002959CE"/>
    <w:rsid w:val="00295B37"/>
    <w:rsid w:val="00295C22"/>
    <w:rsid w:val="00295CEC"/>
    <w:rsid w:val="00295D44"/>
    <w:rsid w:val="00295D72"/>
    <w:rsid w:val="00295D7C"/>
    <w:rsid w:val="00295DFA"/>
    <w:rsid w:val="002960AB"/>
    <w:rsid w:val="00296487"/>
    <w:rsid w:val="002967CA"/>
    <w:rsid w:val="002968AF"/>
    <w:rsid w:val="002969C0"/>
    <w:rsid w:val="002969F9"/>
    <w:rsid w:val="00296B43"/>
    <w:rsid w:val="00296CFE"/>
    <w:rsid w:val="00296E4D"/>
    <w:rsid w:val="00296EA9"/>
    <w:rsid w:val="00296FE7"/>
    <w:rsid w:val="00297188"/>
    <w:rsid w:val="00297376"/>
    <w:rsid w:val="00297512"/>
    <w:rsid w:val="00297580"/>
    <w:rsid w:val="00297622"/>
    <w:rsid w:val="002978AC"/>
    <w:rsid w:val="002979D2"/>
    <w:rsid w:val="00297BA4"/>
    <w:rsid w:val="00297D6F"/>
    <w:rsid w:val="00297DA0"/>
    <w:rsid w:val="00297F00"/>
    <w:rsid w:val="00297F9C"/>
    <w:rsid w:val="002A016A"/>
    <w:rsid w:val="002A021F"/>
    <w:rsid w:val="002A026A"/>
    <w:rsid w:val="002A041F"/>
    <w:rsid w:val="002A04AB"/>
    <w:rsid w:val="002A069F"/>
    <w:rsid w:val="002A0886"/>
    <w:rsid w:val="002A0A25"/>
    <w:rsid w:val="002A0ACF"/>
    <w:rsid w:val="002A0E13"/>
    <w:rsid w:val="002A0F09"/>
    <w:rsid w:val="002A0FA4"/>
    <w:rsid w:val="002A114B"/>
    <w:rsid w:val="002A1189"/>
    <w:rsid w:val="002A120F"/>
    <w:rsid w:val="002A1281"/>
    <w:rsid w:val="002A1498"/>
    <w:rsid w:val="002A163C"/>
    <w:rsid w:val="002A17EC"/>
    <w:rsid w:val="002A199E"/>
    <w:rsid w:val="002A1B0F"/>
    <w:rsid w:val="002A1B36"/>
    <w:rsid w:val="002A1EBF"/>
    <w:rsid w:val="002A2058"/>
    <w:rsid w:val="002A2093"/>
    <w:rsid w:val="002A216E"/>
    <w:rsid w:val="002A249B"/>
    <w:rsid w:val="002A254F"/>
    <w:rsid w:val="002A2754"/>
    <w:rsid w:val="002A2A69"/>
    <w:rsid w:val="002A3063"/>
    <w:rsid w:val="002A3069"/>
    <w:rsid w:val="002A309C"/>
    <w:rsid w:val="002A32B7"/>
    <w:rsid w:val="002A3350"/>
    <w:rsid w:val="002A3365"/>
    <w:rsid w:val="002A3802"/>
    <w:rsid w:val="002A3C71"/>
    <w:rsid w:val="002A3D7B"/>
    <w:rsid w:val="002A3E59"/>
    <w:rsid w:val="002A4006"/>
    <w:rsid w:val="002A4152"/>
    <w:rsid w:val="002A4208"/>
    <w:rsid w:val="002A43BA"/>
    <w:rsid w:val="002A44DE"/>
    <w:rsid w:val="002A455F"/>
    <w:rsid w:val="002A464E"/>
    <w:rsid w:val="002A4B19"/>
    <w:rsid w:val="002A4CED"/>
    <w:rsid w:val="002A4DE7"/>
    <w:rsid w:val="002A4E28"/>
    <w:rsid w:val="002A4EB9"/>
    <w:rsid w:val="002A4F2E"/>
    <w:rsid w:val="002A5086"/>
    <w:rsid w:val="002A5774"/>
    <w:rsid w:val="002A581A"/>
    <w:rsid w:val="002A58C2"/>
    <w:rsid w:val="002A5ACE"/>
    <w:rsid w:val="002A5C8F"/>
    <w:rsid w:val="002A5CA0"/>
    <w:rsid w:val="002A5D39"/>
    <w:rsid w:val="002A5D72"/>
    <w:rsid w:val="002A5F2D"/>
    <w:rsid w:val="002A6026"/>
    <w:rsid w:val="002A61B3"/>
    <w:rsid w:val="002A6277"/>
    <w:rsid w:val="002A63B7"/>
    <w:rsid w:val="002A6456"/>
    <w:rsid w:val="002A64F9"/>
    <w:rsid w:val="002A6708"/>
    <w:rsid w:val="002A67D5"/>
    <w:rsid w:val="002A68D5"/>
    <w:rsid w:val="002A6C03"/>
    <w:rsid w:val="002A6D9A"/>
    <w:rsid w:val="002A6EC2"/>
    <w:rsid w:val="002A6F45"/>
    <w:rsid w:val="002A6F85"/>
    <w:rsid w:val="002A70D0"/>
    <w:rsid w:val="002A739A"/>
    <w:rsid w:val="002A763F"/>
    <w:rsid w:val="002A77BE"/>
    <w:rsid w:val="002A78AD"/>
    <w:rsid w:val="002A78AF"/>
    <w:rsid w:val="002A7B3F"/>
    <w:rsid w:val="002A7BC6"/>
    <w:rsid w:val="002A7C6E"/>
    <w:rsid w:val="002A7D16"/>
    <w:rsid w:val="002A7D49"/>
    <w:rsid w:val="002A7FF8"/>
    <w:rsid w:val="002B0443"/>
    <w:rsid w:val="002B0756"/>
    <w:rsid w:val="002B07A3"/>
    <w:rsid w:val="002B085D"/>
    <w:rsid w:val="002B08A0"/>
    <w:rsid w:val="002B08F9"/>
    <w:rsid w:val="002B0A79"/>
    <w:rsid w:val="002B0B43"/>
    <w:rsid w:val="002B0E14"/>
    <w:rsid w:val="002B0E1A"/>
    <w:rsid w:val="002B1050"/>
    <w:rsid w:val="002B1133"/>
    <w:rsid w:val="002B122E"/>
    <w:rsid w:val="002B1272"/>
    <w:rsid w:val="002B143D"/>
    <w:rsid w:val="002B14E7"/>
    <w:rsid w:val="002B1536"/>
    <w:rsid w:val="002B159D"/>
    <w:rsid w:val="002B15AA"/>
    <w:rsid w:val="002B16DE"/>
    <w:rsid w:val="002B17C9"/>
    <w:rsid w:val="002B1827"/>
    <w:rsid w:val="002B1952"/>
    <w:rsid w:val="002B19D8"/>
    <w:rsid w:val="002B1A89"/>
    <w:rsid w:val="002B1F86"/>
    <w:rsid w:val="002B1F98"/>
    <w:rsid w:val="002B20E4"/>
    <w:rsid w:val="002B2202"/>
    <w:rsid w:val="002B2248"/>
    <w:rsid w:val="002B22CE"/>
    <w:rsid w:val="002B236E"/>
    <w:rsid w:val="002B239B"/>
    <w:rsid w:val="002B2641"/>
    <w:rsid w:val="002B26A6"/>
    <w:rsid w:val="002B26D8"/>
    <w:rsid w:val="002B2ACE"/>
    <w:rsid w:val="002B2C0B"/>
    <w:rsid w:val="002B2D4C"/>
    <w:rsid w:val="002B2F75"/>
    <w:rsid w:val="002B2F81"/>
    <w:rsid w:val="002B307D"/>
    <w:rsid w:val="002B310B"/>
    <w:rsid w:val="002B3168"/>
    <w:rsid w:val="002B3366"/>
    <w:rsid w:val="002B3371"/>
    <w:rsid w:val="002B348B"/>
    <w:rsid w:val="002B358D"/>
    <w:rsid w:val="002B3773"/>
    <w:rsid w:val="002B377A"/>
    <w:rsid w:val="002B3947"/>
    <w:rsid w:val="002B398D"/>
    <w:rsid w:val="002B3D33"/>
    <w:rsid w:val="002B3D42"/>
    <w:rsid w:val="002B3DD9"/>
    <w:rsid w:val="002B3E80"/>
    <w:rsid w:val="002B3EE5"/>
    <w:rsid w:val="002B4085"/>
    <w:rsid w:val="002B4223"/>
    <w:rsid w:val="002B43F8"/>
    <w:rsid w:val="002B44E5"/>
    <w:rsid w:val="002B4627"/>
    <w:rsid w:val="002B462B"/>
    <w:rsid w:val="002B4665"/>
    <w:rsid w:val="002B47BD"/>
    <w:rsid w:val="002B4870"/>
    <w:rsid w:val="002B4962"/>
    <w:rsid w:val="002B4963"/>
    <w:rsid w:val="002B4D2D"/>
    <w:rsid w:val="002B4F67"/>
    <w:rsid w:val="002B4F6E"/>
    <w:rsid w:val="002B50DA"/>
    <w:rsid w:val="002B5398"/>
    <w:rsid w:val="002B5595"/>
    <w:rsid w:val="002B56D9"/>
    <w:rsid w:val="002B59C7"/>
    <w:rsid w:val="002B5BE5"/>
    <w:rsid w:val="002B5D08"/>
    <w:rsid w:val="002B5D4C"/>
    <w:rsid w:val="002B5D93"/>
    <w:rsid w:val="002B5EB1"/>
    <w:rsid w:val="002B5F22"/>
    <w:rsid w:val="002B5F26"/>
    <w:rsid w:val="002B6070"/>
    <w:rsid w:val="002B6074"/>
    <w:rsid w:val="002B64EE"/>
    <w:rsid w:val="002B6530"/>
    <w:rsid w:val="002B66E5"/>
    <w:rsid w:val="002B6A8C"/>
    <w:rsid w:val="002B6CA5"/>
    <w:rsid w:val="002B6DCA"/>
    <w:rsid w:val="002B7006"/>
    <w:rsid w:val="002B7046"/>
    <w:rsid w:val="002B7067"/>
    <w:rsid w:val="002B7247"/>
    <w:rsid w:val="002B729B"/>
    <w:rsid w:val="002B7508"/>
    <w:rsid w:val="002B7629"/>
    <w:rsid w:val="002B7641"/>
    <w:rsid w:val="002B76B5"/>
    <w:rsid w:val="002B7817"/>
    <w:rsid w:val="002B78B6"/>
    <w:rsid w:val="002B7F59"/>
    <w:rsid w:val="002C0140"/>
    <w:rsid w:val="002C023C"/>
    <w:rsid w:val="002C03C7"/>
    <w:rsid w:val="002C04E4"/>
    <w:rsid w:val="002C0599"/>
    <w:rsid w:val="002C06E6"/>
    <w:rsid w:val="002C092D"/>
    <w:rsid w:val="002C0AAF"/>
    <w:rsid w:val="002C0AD6"/>
    <w:rsid w:val="002C0B6E"/>
    <w:rsid w:val="002C0C00"/>
    <w:rsid w:val="002C0D39"/>
    <w:rsid w:val="002C0D7B"/>
    <w:rsid w:val="002C10D5"/>
    <w:rsid w:val="002C1168"/>
    <w:rsid w:val="002C1276"/>
    <w:rsid w:val="002C1280"/>
    <w:rsid w:val="002C150D"/>
    <w:rsid w:val="002C19ED"/>
    <w:rsid w:val="002C1BEA"/>
    <w:rsid w:val="002C1C5F"/>
    <w:rsid w:val="002C1DCA"/>
    <w:rsid w:val="002C1E49"/>
    <w:rsid w:val="002C1F04"/>
    <w:rsid w:val="002C2212"/>
    <w:rsid w:val="002C251D"/>
    <w:rsid w:val="002C2548"/>
    <w:rsid w:val="002C2675"/>
    <w:rsid w:val="002C27DD"/>
    <w:rsid w:val="002C283E"/>
    <w:rsid w:val="002C2881"/>
    <w:rsid w:val="002C297A"/>
    <w:rsid w:val="002C2EB3"/>
    <w:rsid w:val="002C2F26"/>
    <w:rsid w:val="002C2FC0"/>
    <w:rsid w:val="002C30CE"/>
    <w:rsid w:val="002C3190"/>
    <w:rsid w:val="002C334E"/>
    <w:rsid w:val="002C3C4F"/>
    <w:rsid w:val="002C3D05"/>
    <w:rsid w:val="002C3E3D"/>
    <w:rsid w:val="002C434E"/>
    <w:rsid w:val="002C45DE"/>
    <w:rsid w:val="002C4697"/>
    <w:rsid w:val="002C4C66"/>
    <w:rsid w:val="002C4C83"/>
    <w:rsid w:val="002C4D74"/>
    <w:rsid w:val="002C4E1D"/>
    <w:rsid w:val="002C4E2E"/>
    <w:rsid w:val="002C4EC5"/>
    <w:rsid w:val="002C546F"/>
    <w:rsid w:val="002C5524"/>
    <w:rsid w:val="002C552F"/>
    <w:rsid w:val="002C5697"/>
    <w:rsid w:val="002C5908"/>
    <w:rsid w:val="002C5923"/>
    <w:rsid w:val="002C59D2"/>
    <w:rsid w:val="002C5EC1"/>
    <w:rsid w:val="002C5EE3"/>
    <w:rsid w:val="002C5EFD"/>
    <w:rsid w:val="002C6280"/>
    <w:rsid w:val="002C6305"/>
    <w:rsid w:val="002C6412"/>
    <w:rsid w:val="002C64F1"/>
    <w:rsid w:val="002C6561"/>
    <w:rsid w:val="002C6648"/>
    <w:rsid w:val="002C681F"/>
    <w:rsid w:val="002C6990"/>
    <w:rsid w:val="002C69EC"/>
    <w:rsid w:val="002C6C49"/>
    <w:rsid w:val="002C6DD9"/>
    <w:rsid w:val="002C6EAD"/>
    <w:rsid w:val="002C6FC5"/>
    <w:rsid w:val="002C70F0"/>
    <w:rsid w:val="002C7266"/>
    <w:rsid w:val="002C75B6"/>
    <w:rsid w:val="002C7736"/>
    <w:rsid w:val="002C7B01"/>
    <w:rsid w:val="002C7B3F"/>
    <w:rsid w:val="002C7BBB"/>
    <w:rsid w:val="002C7C16"/>
    <w:rsid w:val="002C7D96"/>
    <w:rsid w:val="002C7ED7"/>
    <w:rsid w:val="002C7F13"/>
    <w:rsid w:val="002C7F5C"/>
    <w:rsid w:val="002D0043"/>
    <w:rsid w:val="002D0055"/>
    <w:rsid w:val="002D009E"/>
    <w:rsid w:val="002D0164"/>
    <w:rsid w:val="002D02C9"/>
    <w:rsid w:val="002D0371"/>
    <w:rsid w:val="002D06A7"/>
    <w:rsid w:val="002D06F9"/>
    <w:rsid w:val="002D076D"/>
    <w:rsid w:val="002D096D"/>
    <w:rsid w:val="002D0AC6"/>
    <w:rsid w:val="002D0C2A"/>
    <w:rsid w:val="002D0C6B"/>
    <w:rsid w:val="002D0D22"/>
    <w:rsid w:val="002D106C"/>
    <w:rsid w:val="002D14C9"/>
    <w:rsid w:val="002D14CF"/>
    <w:rsid w:val="002D17BC"/>
    <w:rsid w:val="002D17F8"/>
    <w:rsid w:val="002D196B"/>
    <w:rsid w:val="002D19C4"/>
    <w:rsid w:val="002D1A38"/>
    <w:rsid w:val="002D1F3D"/>
    <w:rsid w:val="002D1FAE"/>
    <w:rsid w:val="002D201C"/>
    <w:rsid w:val="002D2095"/>
    <w:rsid w:val="002D214F"/>
    <w:rsid w:val="002D2256"/>
    <w:rsid w:val="002D24AC"/>
    <w:rsid w:val="002D26AE"/>
    <w:rsid w:val="002D2717"/>
    <w:rsid w:val="002D2A8B"/>
    <w:rsid w:val="002D2B6A"/>
    <w:rsid w:val="002D2CA6"/>
    <w:rsid w:val="002D2DC9"/>
    <w:rsid w:val="002D2DFE"/>
    <w:rsid w:val="002D2E53"/>
    <w:rsid w:val="002D305D"/>
    <w:rsid w:val="002D30FD"/>
    <w:rsid w:val="002D3144"/>
    <w:rsid w:val="002D34C9"/>
    <w:rsid w:val="002D3500"/>
    <w:rsid w:val="002D3947"/>
    <w:rsid w:val="002D3987"/>
    <w:rsid w:val="002D3A6C"/>
    <w:rsid w:val="002D3CD5"/>
    <w:rsid w:val="002D3D20"/>
    <w:rsid w:val="002D3E6B"/>
    <w:rsid w:val="002D425F"/>
    <w:rsid w:val="002D4261"/>
    <w:rsid w:val="002D44B5"/>
    <w:rsid w:val="002D47F1"/>
    <w:rsid w:val="002D4814"/>
    <w:rsid w:val="002D4880"/>
    <w:rsid w:val="002D48F0"/>
    <w:rsid w:val="002D4935"/>
    <w:rsid w:val="002D4A3F"/>
    <w:rsid w:val="002D4B33"/>
    <w:rsid w:val="002D4BA5"/>
    <w:rsid w:val="002D4BAC"/>
    <w:rsid w:val="002D4C27"/>
    <w:rsid w:val="002D4C79"/>
    <w:rsid w:val="002D4D47"/>
    <w:rsid w:val="002D4ECA"/>
    <w:rsid w:val="002D5084"/>
    <w:rsid w:val="002D509C"/>
    <w:rsid w:val="002D51AE"/>
    <w:rsid w:val="002D560C"/>
    <w:rsid w:val="002D57C1"/>
    <w:rsid w:val="002D59CB"/>
    <w:rsid w:val="002D5ABA"/>
    <w:rsid w:val="002D5CB4"/>
    <w:rsid w:val="002D5F22"/>
    <w:rsid w:val="002D5F3A"/>
    <w:rsid w:val="002D5F79"/>
    <w:rsid w:val="002D624E"/>
    <w:rsid w:val="002D6455"/>
    <w:rsid w:val="002D64F3"/>
    <w:rsid w:val="002D65F2"/>
    <w:rsid w:val="002D663C"/>
    <w:rsid w:val="002D6A60"/>
    <w:rsid w:val="002D6F74"/>
    <w:rsid w:val="002D71CA"/>
    <w:rsid w:val="002D7440"/>
    <w:rsid w:val="002D7576"/>
    <w:rsid w:val="002D75B1"/>
    <w:rsid w:val="002D77F7"/>
    <w:rsid w:val="002D7A9F"/>
    <w:rsid w:val="002D7E0E"/>
    <w:rsid w:val="002D7E54"/>
    <w:rsid w:val="002D7EDB"/>
    <w:rsid w:val="002D7F48"/>
    <w:rsid w:val="002E0005"/>
    <w:rsid w:val="002E01B2"/>
    <w:rsid w:val="002E01FB"/>
    <w:rsid w:val="002E032E"/>
    <w:rsid w:val="002E0432"/>
    <w:rsid w:val="002E0481"/>
    <w:rsid w:val="002E0690"/>
    <w:rsid w:val="002E07ED"/>
    <w:rsid w:val="002E0A8D"/>
    <w:rsid w:val="002E0E02"/>
    <w:rsid w:val="002E0E47"/>
    <w:rsid w:val="002E0F18"/>
    <w:rsid w:val="002E10AF"/>
    <w:rsid w:val="002E10CB"/>
    <w:rsid w:val="002E145F"/>
    <w:rsid w:val="002E14E7"/>
    <w:rsid w:val="002E15EE"/>
    <w:rsid w:val="002E17BE"/>
    <w:rsid w:val="002E188C"/>
    <w:rsid w:val="002E1890"/>
    <w:rsid w:val="002E1A63"/>
    <w:rsid w:val="002E1B7B"/>
    <w:rsid w:val="002E1C07"/>
    <w:rsid w:val="002E1F58"/>
    <w:rsid w:val="002E24DB"/>
    <w:rsid w:val="002E25FF"/>
    <w:rsid w:val="002E2671"/>
    <w:rsid w:val="002E295C"/>
    <w:rsid w:val="002E2DEC"/>
    <w:rsid w:val="002E2E01"/>
    <w:rsid w:val="002E2E79"/>
    <w:rsid w:val="002E32C2"/>
    <w:rsid w:val="002E3411"/>
    <w:rsid w:val="002E37D2"/>
    <w:rsid w:val="002E3A30"/>
    <w:rsid w:val="002E3AA8"/>
    <w:rsid w:val="002E3D73"/>
    <w:rsid w:val="002E3E45"/>
    <w:rsid w:val="002E3F15"/>
    <w:rsid w:val="002E4769"/>
    <w:rsid w:val="002E47BC"/>
    <w:rsid w:val="002E4856"/>
    <w:rsid w:val="002E48DF"/>
    <w:rsid w:val="002E4B1F"/>
    <w:rsid w:val="002E4C7E"/>
    <w:rsid w:val="002E4D0B"/>
    <w:rsid w:val="002E4E5C"/>
    <w:rsid w:val="002E5115"/>
    <w:rsid w:val="002E5199"/>
    <w:rsid w:val="002E5208"/>
    <w:rsid w:val="002E5298"/>
    <w:rsid w:val="002E5343"/>
    <w:rsid w:val="002E546D"/>
    <w:rsid w:val="002E582C"/>
    <w:rsid w:val="002E5BB2"/>
    <w:rsid w:val="002E5C64"/>
    <w:rsid w:val="002E5CCE"/>
    <w:rsid w:val="002E5D46"/>
    <w:rsid w:val="002E5D9E"/>
    <w:rsid w:val="002E5E26"/>
    <w:rsid w:val="002E5FA1"/>
    <w:rsid w:val="002E6053"/>
    <w:rsid w:val="002E60A4"/>
    <w:rsid w:val="002E65F3"/>
    <w:rsid w:val="002E664D"/>
    <w:rsid w:val="002E676A"/>
    <w:rsid w:val="002E6957"/>
    <w:rsid w:val="002E6B7E"/>
    <w:rsid w:val="002E6E6A"/>
    <w:rsid w:val="002E7031"/>
    <w:rsid w:val="002E703C"/>
    <w:rsid w:val="002E705B"/>
    <w:rsid w:val="002E7225"/>
    <w:rsid w:val="002E7470"/>
    <w:rsid w:val="002E75DD"/>
    <w:rsid w:val="002E76E6"/>
    <w:rsid w:val="002E76FA"/>
    <w:rsid w:val="002E7A5E"/>
    <w:rsid w:val="002E7A7B"/>
    <w:rsid w:val="002E7C17"/>
    <w:rsid w:val="002E7CB3"/>
    <w:rsid w:val="002F05E4"/>
    <w:rsid w:val="002F06A8"/>
    <w:rsid w:val="002F06BE"/>
    <w:rsid w:val="002F070F"/>
    <w:rsid w:val="002F079F"/>
    <w:rsid w:val="002F0887"/>
    <w:rsid w:val="002F08BD"/>
    <w:rsid w:val="002F0A07"/>
    <w:rsid w:val="002F0CEE"/>
    <w:rsid w:val="002F0DAA"/>
    <w:rsid w:val="002F0E50"/>
    <w:rsid w:val="002F0E75"/>
    <w:rsid w:val="002F0FB2"/>
    <w:rsid w:val="002F12B5"/>
    <w:rsid w:val="002F12F2"/>
    <w:rsid w:val="002F14A9"/>
    <w:rsid w:val="002F15C1"/>
    <w:rsid w:val="002F15F2"/>
    <w:rsid w:val="002F15F9"/>
    <w:rsid w:val="002F16AC"/>
    <w:rsid w:val="002F1883"/>
    <w:rsid w:val="002F1C68"/>
    <w:rsid w:val="002F1C95"/>
    <w:rsid w:val="002F1F76"/>
    <w:rsid w:val="002F21C5"/>
    <w:rsid w:val="002F22B2"/>
    <w:rsid w:val="002F24C6"/>
    <w:rsid w:val="002F2551"/>
    <w:rsid w:val="002F25C8"/>
    <w:rsid w:val="002F268C"/>
    <w:rsid w:val="002F2B94"/>
    <w:rsid w:val="002F2CD0"/>
    <w:rsid w:val="002F2CE9"/>
    <w:rsid w:val="002F2E9D"/>
    <w:rsid w:val="002F3075"/>
    <w:rsid w:val="002F31C0"/>
    <w:rsid w:val="002F3223"/>
    <w:rsid w:val="002F334D"/>
    <w:rsid w:val="002F345A"/>
    <w:rsid w:val="002F34C4"/>
    <w:rsid w:val="002F36FF"/>
    <w:rsid w:val="002F372D"/>
    <w:rsid w:val="002F3846"/>
    <w:rsid w:val="002F3B77"/>
    <w:rsid w:val="002F3BEF"/>
    <w:rsid w:val="002F3C24"/>
    <w:rsid w:val="002F44FF"/>
    <w:rsid w:val="002F4559"/>
    <w:rsid w:val="002F4624"/>
    <w:rsid w:val="002F4704"/>
    <w:rsid w:val="002F47E1"/>
    <w:rsid w:val="002F482E"/>
    <w:rsid w:val="002F4889"/>
    <w:rsid w:val="002F4C8D"/>
    <w:rsid w:val="002F4FCD"/>
    <w:rsid w:val="002F50C8"/>
    <w:rsid w:val="002F5146"/>
    <w:rsid w:val="002F5312"/>
    <w:rsid w:val="002F5464"/>
    <w:rsid w:val="002F559D"/>
    <w:rsid w:val="002F55B1"/>
    <w:rsid w:val="002F57C6"/>
    <w:rsid w:val="002F584D"/>
    <w:rsid w:val="002F58E6"/>
    <w:rsid w:val="002F5953"/>
    <w:rsid w:val="002F595E"/>
    <w:rsid w:val="002F59A8"/>
    <w:rsid w:val="002F5B3C"/>
    <w:rsid w:val="002F5CA1"/>
    <w:rsid w:val="002F5DC6"/>
    <w:rsid w:val="002F641F"/>
    <w:rsid w:val="002F6814"/>
    <w:rsid w:val="002F68BB"/>
    <w:rsid w:val="002F6A72"/>
    <w:rsid w:val="002F6AC8"/>
    <w:rsid w:val="002F6C3B"/>
    <w:rsid w:val="002F6C5C"/>
    <w:rsid w:val="002F6C9B"/>
    <w:rsid w:val="002F7095"/>
    <w:rsid w:val="002F7174"/>
    <w:rsid w:val="002F71F5"/>
    <w:rsid w:val="002F74DA"/>
    <w:rsid w:val="002F7580"/>
    <w:rsid w:val="002F7647"/>
    <w:rsid w:val="002F785A"/>
    <w:rsid w:val="002F7896"/>
    <w:rsid w:val="002F7976"/>
    <w:rsid w:val="002F7A04"/>
    <w:rsid w:val="002F7B26"/>
    <w:rsid w:val="002F7E29"/>
    <w:rsid w:val="002F7EF4"/>
    <w:rsid w:val="003002BB"/>
    <w:rsid w:val="00300428"/>
    <w:rsid w:val="003005CC"/>
    <w:rsid w:val="0030083C"/>
    <w:rsid w:val="0030088C"/>
    <w:rsid w:val="00300A67"/>
    <w:rsid w:val="00300B89"/>
    <w:rsid w:val="00300B90"/>
    <w:rsid w:val="00300C0A"/>
    <w:rsid w:val="00300CA3"/>
    <w:rsid w:val="00300DA0"/>
    <w:rsid w:val="00300E69"/>
    <w:rsid w:val="00300F2A"/>
    <w:rsid w:val="003010AE"/>
    <w:rsid w:val="0030117A"/>
    <w:rsid w:val="0030134A"/>
    <w:rsid w:val="00301479"/>
    <w:rsid w:val="00301740"/>
    <w:rsid w:val="003018C5"/>
    <w:rsid w:val="003018E9"/>
    <w:rsid w:val="00301955"/>
    <w:rsid w:val="00301B2F"/>
    <w:rsid w:val="00301C52"/>
    <w:rsid w:val="00301C55"/>
    <w:rsid w:val="00301F54"/>
    <w:rsid w:val="00302194"/>
    <w:rsid w:val="0030224D"/>
    <w:rsid w:val="00302389"/>
    <w:rsid w:val="00302540"/>
    <w:rsid w:val="0030260D"/>
    <w:rsid w:val="00302767"/>
    <w:rsid w:val="00302A67"/>
    <w:rsid w:val="00302B1A"/>
    <w:rsid w:val="00302B63"/>
    <w:rsid w:val="00302CEF"/>
    <w:rsid w:val="00302E02"/>
    <w:rsid w:val="00302FBD"/>
    <w:rsid w:val="0030302E"/>
    <w:rsid w:val="0030319C"/>
    <w:rsid w:val="003031E8"/>
    <w:rsid w:val="0030333E"/>
    <w:rsid w:val="003034B3"/>
    <w:rsid w:val="00303755"/>
    <w:rsid w:val="00303843"/>
    <w:rsid w:val="003038D8"/>
    <w:rsid w:val="003038E7"/>
    <w:rsid w:val="0030395F"/>
    <w:rsid w:val="00303D8C"/>
    <w:rsid w:val="003044A4"/>
    <w:rsid w:val="003044EF"/>
    <w:rsid w:val="00304567"/>
    <w:rsid w:val="00304650"/>
    <w:rsid w:val="0030478A"/>
    <w:rsid w:val="00304845"/>
    <w:rsid w:val="003048AE"/>
    <w:rsid w:val="003048DB"/>
    <w:rsid w:val="0030495A"/>
    <w:rsid w:val="003049E7"/>
    <w:rsid w:val="00304BD1"/>
    <w:rsid w:val="00304C8D"/>
    <w:rsid w:val="00304D87"/>
    <w:rsid w:val="00304F7B"/>
    <w:rsid w:val="00305192"/>
    <w:rsid w:val="003051FB"/>
    <w:rsid w:val="0030522F"/>
    <w:rsid w:val="003052A0"/>
    <w:rsid w:val="00305395"/>
    <w:rsid w:val="00305458"/>
    <w:rsid w:val="00305638"/>
    <w:rsid w:val="003056AC"/>
    <w:rsid w:val="003056F7"/>
    <w:rsid w:val="00305976"/>
    <w:rsid w:val="00305984"/>
    <w:rsid w:val="003059E7"/>
    <w:rsid w:val="00305A29"/>
    <w:rsid w:val="00305B6D"/>
    <w:rsid w:val="00305B9A"/>
    <w:rsid w:val="00305BA0"/>
    <w:rsid w:val="00305C58"/>
    <w:rsid w:val="00306544"/>
    <w:rsid w:val="00306572"/>
    <w:rsid w:val="003065DB"/>
    <w:rsid w:val="003065E7"/>
    <w:rsid w:val="00306662"/>
    <w:rsid w:val="0030672A"/>
    <w:rsid w:val="00306988"/>
    <w:rsid w:val="003069E2"/>
    <w:rsid w:val="00306B3C"/>
    <w:rsid w:val="00306CA5"/>
    <w:rsid w:val="00306D09"/>
    <w:rsid w:val="00306E42"/>
    <w:rsid w:val="00306E88"/>
    <w:rsid w:val="00306F9C"/>
    <w:rsid w:val="003070FC"/>
    <w:rsid w:val="0030723B"/>
    <w:rsid w:val="00307701"/>
    <w:rsid w:val="00307854"/>
    <w:rsid w:val="00307A8F"/>
    <w:rsid w:val="00307B42"/>
    <w:rsid w:val="00307BF9"/>
    <w:rsid w:val="00307CA4"/>
    <w:rsid w:val="00307D45"/>
    <w:rsid w:val="00307DE4"/>
    <w:rsid w:val="00307F05"/>
    <w:rsid w:val="00310025"/>
    <w:rsid w:val="003103D9"/>
    <w:rsid w:val="0031046A"/>
    <w:rsid w:val="003104C1"/>
    <w:rsid w:val="003104D8"/>
    <w:rsid w:val="00310604"/>
    <w:rsid w:val="00310AF3"/>
    <w:rsid w:val="00310B57"/>
    <w:rsid w:val="00310CB2"/>
    <w:rsid w:val="00310FA8"/>
    <w:rsid w:val="0031110D"/>
    <w:rsid w:val="003111C2"/>
    <w:rsid w:val="003111C4"/>
    <w:rsid w:val="00311299"/>
    <w:rsid w:val="003113BD"/>
    <w:rsid w:val="00311557"/>
    <w:rsid w:val="0031170C"/>
    <w:rsid w:val="0031171E"/>
    <w:rsid w:val="00311C73"/>
    <w:rsid w:val="00311D67"/>
    <w:rsid w:val="00311E55"/>
    <w:rsid w:val="00311EF1"/>
    <w:rsid w:val="00311FC6"/>
    <w:rsid w:val="00312058"/>
    <w:rsid w:val="003123C5"/>
    <w:rsid w:val="00312551"/>
    <w:rsid w:val="003127AE"/>
    <w:rsid w:val="00312869"/>
    <w:rsid w:val="003128E9"/>
    <w:rsid w:val="0031291D"/>
    <w:rsid w:val="00312AEA"/>
    <w:rsid w:val="00312AED"/>
    <w:rsid w:val="00312C9B"/>
    <w:rsid w:val="0031327F"/>
    <w:rsid w:val="00313291"/>
    <w:rsid w:val="0031334D"/>
    <w:rsid w:val="0031367C"/>
    <w:rsid w:val="003138C3"/>
    <w:rsid w:val="003139DD"/>
    <w:rsid w:val="00313F0B"/>
    <w:rsid w:val="0031404B"/>
    <w:rsid w:val="00314174"/>
    <w:rsid w:val="0031442E"/>
    <w:rsid w:val="0031460C"/>
    <w:rsid w:val="003146BD"/>
    <w:rsid w:val="00314911"/>
    <w:rsid w:val="00314AAF"/>
    <w:rsid w:val="00314B3C"/>
    <w:rsid w:val="00314D7B"/>
    <w:rsid w:val="00314FE1"/>
    <w:rsid w:val="00315158"/>
    <w:rsid w:val="00315E74"/>
    <w:rsid w:val="00316264"/>
    <w:rsid w:val="003163D1"/>
    <w:rsid w:val="003167AA"/>
    <w:rsid w:val="003167D3"/>
    <w:rsid w:val="0031680F"/>
    <w:rsid w:val="00316A46"/>
    <w:rsid w:val="00316A63"/>
    <w:rsid w:val="00316D2A"/>
    <w:rsid w:val="00316D7D"/>
    <w:rsid w:val="00316DA2"/>
    <w:rsid w:val="00316EC3"/>
    <w:rsid w:val="003170BD"/>
    <w:rsid w:val="0031714F"/>
    <w:rsid w:val="00317204"/>
    <w:rsid w:val="003172A0"/>
    <w:rsid w:val="003172E6"/>
    <w:rsid w:val="00317430"/>
    <w:rsid w:val="00317469"/>
    <w:rsid w:val="0031768F"/>
    <w:rsid w:val="003176A2"/>
    <w:rsid w:val="00317AF5"/>
    <w:rsid w:val="00317E70"/>
    <w:rsid w:val="00317F14"/>
    <w:rsid w:val="00317F22"/>
    <w:rsid w:val="00317F42"/>
    <w:rsid w:val="00317F52"/>
    <w:rsid w:val="00317F5C"/>
    <w:rsid w:val="00317FC1"/>
    <w:rsid w:val="00320065"/>
    <w:rsid w:val="003200DB"/>
    <w:rsid w:val="003200F2"/>
    <w:rsid w:val="003203AF"/>
    <w:rsid w:val="00320594"/>
    <w:rsid w:val="0032059E"/>
    <w:rsid w:val="003208F1"/>
    <w:rsid w:val="0032092F"/>
    <w:rsid w:val="00320955"/>
    <w:rsid w:val="00320959"/>
    <w:rsid w:val="00320962"/>
    <w:rsid w:val="00320B42"/>
    <w:rsid w:val="00320E20"/>
    <w:rsid w:val="00320EB4"/>
    <w:rsid w:val="00321050"/>
    <w:rsid w:val="0032139B"/>
    <w:rsid w:val="00321481"/>
    <w:rsid w:val="003214D7"/>
    <w:rsid w:val="00321777"/>
    <w:rsid w:val="00321E9D"/>
    <w:rsid w:val="003220B9"/>
    <w:rsid w:val="003222B4"/>
    <w:rsid w:val="003223E5"/>
    <w:rsid w:val="00322674"/>
    <w:rsid w:val="003228A8"/>
    <w:rsid w:val="003228D7"/>
    <w:rsid w:val="00322923"/>
    <w:rsid w:val="003229C0"/>
    <w:rsid w:val="00322D34"/>
    <w:rsid w:val="00322D71"/>
    <w:rsid w:val="00322E31"/>
    <w:rsid w:val="003231C4"/>
    <w:rsid w:val="00323298"/>
    <w:rsid w:val="003234D1"/>
    <w:rsid w:val="0032369D"/>
    <w:rsid w:val="003237D0"/>
    <w:rsid w:val="003239E5"/>
    <w:rsid w:val="00323B02"/>
    <w:rsid w:val="00323C06"/>
    <w:rsid w:val="00323E9B"/>
    <w:rsid w:val="00323F15"/>
    <w:rsid w:val="003243CB"/>
    <w:rsid w:val="0032449E"/>
    <w:rsid w:val="00324553"/>
    <w:rsid w:val="00324596"/>
    <w:rsid w:val="003245D8"/>
    <w:rsid w:val="0032476A"/>
    <w:rsid w:val="0032482B"/>
    <w:rsid w:val="00324932"/>
    <w:rsid w:val="003249CB"/>
    <w:rsid w:val="00324A10"/>
    <w:rsid w:val="00324B22"/>
    <w:rsid w:val="00324C31"/>
    <w:rsid w:val="00324C35"/>
    <w:rsid w:val="00324E87"/>
    <w:rsid w:val="00325018"/>
    <w:rsid w:val="003250ED"/>
    <w:rsid w:val="003251D1"/>
    <w:rsid w:val="00325239"/>
    <w:rsid w:val="003252F9"/>
    <w:rsid w:val="003253D4"/>
    <w:rsid w:val="00325495"/>
    <w:rsid w:val="003257B2"/>
    <w:rsid w:val="0032583F"/>
    <w:rsid w:val="0032593B"/>
    <w:rsid w:val="00325E5C"/>
    <w:rsid w:val="00325F55"/>
    <w:rsid w:val="0032600B"/>
    <w:rsid w:val="003261A8"/>
    <w:rsid w:val="00326367"/>
    <w:rsid w:val="003263E2"/>
    <w:rsid w:val="00326A12"/>
    <w:rsid w:val="00326B29"/>
    <w:rsid w:val="00326B59"/>
    <w:rsid w:val="00326BB8"/>
    <w:rsid w:val="00326C61"/>
    <w:rsid w:val="00326D6A"/>
    <w:rsid w:val="00327052"/>
    <w:rsid w:val="0032714B"/>
    <w:rsid w:val="003273D3"/>
    <w:rsid w:val="00327693"/>
    <w:rsid w:val="0032784D"/>
    <w:rsid w:val="00327CD1"/>
    <w:rsid w:val="00327D83"/>
    <w:rsid w:val="00327DF3"/>
    <w:rsid w:val="00327E18"/>
    <w:rsid w:val="00327E5E"/>
    <w:rsid w:val="00327EA6"/>
    <w:rsid w:val="00327ECC"/>
    <w:rsid w:val="00327EEC"/>
    <w:rsid w:val="0033017E"/>
    <w:rsid w:val="003302F4"/>
    <w:rsid w:val="003302FE"/>
    <w:rsid w:val="003303E2"/>
    <w:rsid w:val="00330531"/>
    <w:rsid w:val="0033054C"/>
    <w:rsid w:val="00330566"/>
    <w:rsid w:val="0033065A"/>
    <w:rsid w:val="00330820"/>
    <w:rsid w:val="00330B24"/>
    <w:rsid w:val="00330CEE"/>
    <w:rsid w:val="00330D44"/>
    <w:rsid w:val="00330E94"/>
    <w:rsid w:val="00330F92"/>
    <w:rsid w:val="00330FEE"/>
    <w:rsid w:val="0033106D"/>
    <w:rsid w:val="0033133E"/>
    <w:rsid w:val="00331572"/>
    <w:rsid w:val="003316DB"/>
    <w:rsid w:val="003317D5"/>
    <w:rsid w:val="00331B38"/>
    <w:rsid w:val="00331D3F"/>
    <w:rsid w:val="00331EC5"/>
    <w:rsid w:val="00331FE2"/>
    <w:rsid w:val="00332008"/>
    <w:rsid w:val="00332106"/>
    <w:rsid w:val="003323D8"/>
    <w:rsid w:val="00332548"/>
    <w:rsid w:val="003325D4"/>
    <w:rsid w:val="003329C0"/>
    <w:rsid w:val="00332A14"/>
    <w:rsid w:val="00332BCA"/>
    <w:rsid w:val="00332F2D"/>
    <w:rsid w:val="00333237"/>
    <w:rsid w:val="00333265"/>
    <w:rsid w:val="003332C3"/>
    <w:rsid w:val="00333572"/>
    <w:rsid w:val="00333753"/>
    <w:rsid w:val="00333999"/>
    <w:rsid w:val="003339EE"/>
    <w:rsid w:val="00333AA6"/>
    <w:rsid w:val="00333CA5"/>
    <w:rsid w:val="00333D4A"/>
    <w:rsid w:val="00333D87"/>
    <w:rsid w:val="00333EE9"/>
    <w:rsid w:val="0033410A"/>
    <w:rsid w:val="00334606"/>
    <w:rsid w:val="003348A5"/>
    <w:rsid w:val="00334BF1"/>
    <w:rsid w:val="00334DD8"/>
    <w:rsid w:val="00334E8D"/>
    <w:rsid w:val="00334EA9"/>
    <w:rsid w:val="003350A1"/>
    <w:rsid w:val="003351B1"/>
    <w:rsid w:val="00335227"/>
    <w:rsid w:val="003352D3"/>
    <w:rsid w:val="00335322"/>
    <w:rsid w:val="003353D8"/>
    <w:rsid w:val="003355A0"/>
    <w:rsid w:val="00335857"/>
    <w:rsid w:val="00335A41"/>
    <w:rsid w:val="00335A55"/>
    <w:rsid w:val="00335BA6"/>
    <w:rsid w:val="00335C65"/>
    <w:rsid w:val="00336496"/>
    <w:rsid w:val="00336608"/>
    <w:rsid w:val="00336887"/>
    <w:rsid w:val="003368E0"/>
    <w:rsid w:val="00336AF4"/>
    <w:rsid w:val="00336BE7"/>
    <w:rsid w:val="00336CCF"/>
    <w:rsid w:val="0033710F"/>
    <w:rsid w:val="0033714C"/>
    <w:rsid w:val="003372B0"/>
    <w:rsid w:val="003372DC"/>
    <w:rsid w:val="003372E0"/>
    <w:rsid w:val="0033743F"/>
    <w:rsid w:val="003375D1"/>
    <w:rsid w:val="0033766A"/>
    <w:rsid w:val="00337918"/>
    <w:rsid w:val="00337B01"/>
    <w:rsid w:val="00337B6A"/>
    <w:rsid w:val="00337D7A"/>
    <w:rsid w:val="00337DDF"/>
    <w:rsid w:val="00337DEE"/>
    <w:rsid w:val="00337DFC"/>
    <w:rsid w:val="00337E73"/>
    <w:rsid w:val="003400BF"/>
    <w:rsid w:val="00340114"/>
    <w:rsid w:val="003402D2"/>
    <w:rsid w:val="00340366"/>
    <w:rsid w:val="003406D4"/>
    <w:rsid w:val="00340A44"/>
    <w:rsid w:val="00340A46"/>
    <w:rsid w:val="00340A9E"/>
    <w:rsid w:val="00340B71"/>
    <w:rsid w:val="00340BA1"/>
    <w:rsid w:val="00340C89"/>
    <w:rsid w:val="00340CDB"/>
    <w:rsid w:val="00340EDA"/>
    <w:rsid w:val="00341204"/>
    <w:rsid w:val="00341424"/>
    <w:rsid w:val="003419FD"/>
    <w:rsid w:val="00341A03"/>
    <w:rsid w:val="00341B64"/>
    <w:rsid w:val="00341C1E"/>
    <w:rsid w:val="00341CF3"/>
    <w:rsid w:val="00341CFD"/>
    <w:rsid w:val="00341D36"/>
    <w:rsid w:val="00341EC7"/>
    <w:rsid w:val="00341F5D"/>
    <w:rsid w:val="00342465"/>
    <w:rsid w:val="00342554"/>
    <w:rsid w:val="00342721"/>
    <w:rsid w:val="00342828"/>
    <w:rsid w:val="00342880"/>
    <w:rsid w:val="00342988"/>
    <w:rsid w:val="003429FC"/>
    <w:rsid w:val="00342B2D"/>
    <w:rsid w:val="00342B79"/>
    <w:rsid w:val="00342CB8"/>
    <w:rsid w:val="003430B3"/>
    <w:rsid w:val="003431AC"/>
    <w:rsid w:val="00343298"/>
    <w:rsid w:val="00343313"/>
    <w:rsid w:val="003435EE"/>
    <w:rsid w:val="003437A6"/>
    <w:rsid w:val="00343A3D"/>
    <w:rsid w:val="00343C1C"/>
    <w:rsid w:val="00343EC7"/>
    <w:rsid w:val="00343F40"/>
    <w:rsid w:val="003442AB"/>
    <w:rsid w:val="0034436A"/>
    <w:rsid w:val="003443E3"/>
    <w:rsid w:val="003444B6"/>
    <w:rsid w:val="003444E3"/>
    <w:rsid w:val="003445BC"/>
    <w:rsid w:val="00344648"/>
    <w:rsid w:val="0034472E"/>
    <w:rsid w:val="003447D3"/>
    <w:rsid w:val="00344AE9"/>
    <w:rsid w:val="00344C0F"/>
    <w:rsid w:val="00344C56"/>
    <w:rsid w:val="00344D2E"/>
    <w:rsid w:val="00344D54"/>
    <w:rsid w:val="00344E3F"/>
    <w:rsid w:val="00344FB1"/>
    <w:rsid w:val="00344FB9"/>
    <w:rsid w:val="003450D5"/>
    <w:rsid w:val="003451CC"/>
    <w:rsid w:val="003453B5"/>
    <w:rsid w:val="00345553"/>
    <w:rsid w:val="00345A1C"/>
    <w:rsid w:val="00345B38"/>
    <w:rsid w:val="00345C1B"/>
    <w:rsid w:val="00345DFE"/>
    <w:rsid w:val="00346047"/>
    <w:rsid w:val="003460B3"/>
    <w:rsid w:val="00346548"/>
    <w:rsid w:val="003465E5"/>
    <w:rsid w:val="003469A1"/>
    <w:rsid w:val="00346B09"/>
    <w:rsid w:val="00346E0C"/>
    <w:rsid w:val="00347236"/>
    <w:rsid w:val="00347389"/>
    <w:rsid w:val="003474D9"/>
    <w:rsid w:val="00347567"/>
    <w:rsid w:val="003475B9"/>
    <w:rsid w:val="00347770"/>
    <w:rsid w:val="00347A17"/>
    <w:rsid w:val="00347E60"/>
    <w:rsid w:val="003502E5"/>
    <w:rsid w:val="00350394"/>
    <w:rsid w:val="003503D2"/>
    <w:rsid w:val="00350424"/>
    <w:rsid w:val="003505D8"/>
    <w:rsid w:val="0035064F"/>
    <w:rsid w:val="00350A40"/>
    <w:rsid w:val="00350AF6"/>
    <w:rsid w:val="00350BC7"/>
    <w:rsid w:val="00350C8F"/>
    <w:rsid w:val="00350F2E"/>
    <w:rsid w:val="00350F35"/>
    <w:rsid w:val="00351114"/>
    <w:rsid w:val="00351144"/>
    <w:rsid w:val="003514B7"/>
    <w:rsid w:val="003514F9"/>
    <w:rsid w:val="0035150E"/>
    <w:rsid w:val="00351514"/>
    <w:rsid w:val="00351610"/>
    <w:rsid w:val="003516F0"/>
    <w:rsid w:val="003516F8"/>
    <w:rsid w:val="0035178B"/>
    <w:rsid w:val="003519DA"/>
    <w:rsid w:val="00351E14"/>
    <w:rsid w:val="00351F12"/>
    <w:rsid w:val="00351F9D"/>
    <w:rsid w:val="00351FB7"/>
    <w:rsid w:val="0035207B"/>
    <w:rsid w:val="0035225C"/>
    <w:rsid w:val="003523AC"/>
    <w:rsid w:val="003526B0"/>
    <w:rsid w:val="0035280B"/>
    <w:rsid w:val="00352964"/>
    <w:rsid w:val="00352A42"/>
    <w:rsid w:val="00352ACC"/>
    <w:rsid w:val="00352B8B"/>
    <w:rsid w:val="00352CB3"/>
    <w:rsid w:val="00352E86"/>
    <w:rsid w:val="00353149"/>
    <w:rsid w:val="003531FE"/>
    <w:rsid w:val="00353203"/>
    <w:rsid w:val="00353225"/>
    <w:rsid w:val="003533CC"/>
    <w:rsid w:val="00353724"/>
    <w:rsid w:val="00353A07"/>
    <w:rsid w:val="00353EAF"/>
    <w:rsid w:val="0035402C"/>
    <w:rsid w:val="00354090"/>
    <w:rsid w:val="0035411B"/>
    <w:rsid w:val="00354246"/>
    <w:rsid w:val="00354251"/>
    <w:rsid w:val="00354289"/>
    <w:rsid w:val="0035486E"/>
    <w:rsid w:val="00354A6C"/>
    <w:rsid w:val="00354E69"/>
    <w:rsid w:val="0035536F"/>
    <w:rsid w:val="003555C7"/>
    <w:rsid w:val="003555FF"/>
    <w:rsid w:val="0035594A"/>
    <w:rsid w:val="00355C64"/>
    <w:rsid w:val="00355DBD"/>
    <w:rsid w:val="00355E9E"/>
    <w:rsid w:val="003561EE"/>
    <w:rsid w:val="0035638F"/>
    <w:rsid w:val="003565D2"/>
    <w:rsid w:val="00356734"/>
    <w:rsid w:val="0035678E"/>
    <w:rsid w:val="003567CE"/>
    <w:rsid w:val="00356875"/>
    <w:rsid w:val="00356935"/>
    <w:rsid w:val="00356980"/>
    <w:rsid w:val="00356AFF"/>
    <w:rsid w:val="00356E75"/>
    <w:rsid w:val="00356EDB"/>
    <w:rsid w:val="003570FB"/>
    <w:rsid w:val="003573A4"/>
    <w:rsid w:val="00357499"/>
    <w:rsid w:val="00357512"/>
    <w:rsid w:val="00357883"/>
    <w:rsid w:val="003578AF"/>
    <w:rsid w:val="00357AE0"/>
    <w:rsid w:val="00357CCB"/>
    <w:rsid w:val="00357E7C"/>
    <w:rsid w:val="0036009B"/>
    <w:rsid w:val="0036010B"/>
    <w:rsid w:val="0036013E"/>
    <w:rsid w:val="00360193"/>
    <w:rsid w:val="00360246"/>
    <w:rsid w:val="00360247"/>
    <w:rsid w:val="003602D7"/>
    <w:rsid w:val="003604CC"/>
    <w:rsid w:val="0036056D"/>
    <w:rsid w:val="00360C96"/>
    <w:rsid w:val="00360D8D"/>
    <w:rsid w:val="00360E91"/>
    <w:rsid w:val="00360F74"/>
    <w:rsid w:val="00361230"/>
    <w:rsid w:val="003612CD"/>
    <w:rsid w:val="00361433"/>
    <w:rsid w:val="003614EA"/>
    <w:rsid w:val="0036163B"/>
    <w:rsid w:val="003616F4"/>
    <w:rsid w:val="00361787"/>
    <w:rsid w:val="0036181A"/>
    <w:rsid w:val="00361821"/>
    <w:rsid w:val="00361B48"/>
    <w:rsid w:val="00361C83"/>
    <w:rsid w:val="00361D99"/>
    <w:rsid w:val="00361DF6"/>
    <w:rsid w:val="00361F7E"/>
    <w:rsid w:val="00362498"/>
    <w:rsid w:val="003625BB"/>
    <w:rsid w:val="00362C14"/>
    <w:rsid w:val="00362D8C"/>
    <w:rsid w:val="00362E10"/>
    <w:rsid w:val="003630CE"/>
    <w:rsid w:val="00363569"/>
    <w:rsid w:val="0036359D"/>
    <w:rsid w:val="00363639"/>
    <w:rsid w:val="00363676"/>
    <w:rsid w:val="00363769"/>
    <w:rsid w:val="00363899"/>
    <w:rsid w:val="003638AE"/>
    <w:rsid w:val="00363A0B"/>
    <w:rsid w:val="00363AB1"/>
    <w:rsid w:val="00363B74"/>
    <w:rsid w:val="00363DBE"/>
    <w:rsid w:val="00363E25"/>
    <w:rsid w:val="0036406B"/>
    <w:rsid w:val="003642D2"/>
    <w:rsid w:val="003647D6"/>
    <w:rsid w:val="003648E9"/>
    <w:rsid w:val="00364929"/>
    <w:rsid w:val="00364CB9"/>
    <w:rsid w:val="00364DF6"/>
    <w:rsid w:val="00364EBD"/>
    <w:rsid w:val="00364ED0"/>
    <w:rsid w:val="0036500D"/>
    <w:rsid w:val="0036503E"/>
    <w:rsid w:val="003651C5"/>
    <w:rsid w:val="003651DC"/>
    <w:rsid w:val="00365224"/>
    <w:rsid w:val="00365289"/>
    <w:rsid w:val="003652FA"/>
    <w:rsid w:val="00365317"/>
    <w:rsid w:val="0036533E"/>
    <w:rsid w:val="00365402"/>
    <w:rsid w:val="003654F8"/>
    <w:rsid w:val="0036559E"/>
    <w:rsid w:val="003655DB"/>
    <w:rsid w:val="00365609"/>
    <w:rsid w:val="0036562B"/>
    <w:rsid w:val="00365916"/>
    <w:rsid w:val="0036597F"/>
    <w:rsid w:val="00365B04"/>
    <w:rsid w:val="00365C95"/>
    <w:rsid w:val="00365D28"/>
    <w:rsid w:val="00365D7E"/>
    <w:rsid w:val="00365DE9"/>
    <w:rsid w:val="00366018"/>
    <w:rsid w:val="003660E9"/>
    <w:rsid w:val="003661D8"/>
    <w:rsid w:val="003662D9"/>
    <w:rsid w:val="0036631E"/>
    <w:rsid w:val="00366325"/>
    <w:rsid w:val="003663A7"/>
    <w:rsid w:val="003664CC"/>
    <w:rsid w:val="003666F8"/>
    <w:rsid w:val="00366714"/>
    <w:rsid w:val="00366A55"/>
    <w:rsid w:val="00366B51"/>
    <w:rsid w:val="00366C3C"/>
    <w:rsid w:val="00366ECE"/>
    <w:rsid w:val="003670E7"/>
    <w:rsid w:val="003671B0"/>
    <w:rsid w:val="003671FF"/>
    <w:rsid w:val="00367464"/>
    <w:rsid w:val="0036773E"/>
    <w:rsid w:val="0036779B"/>
    <w:rsid w:val="003677BB"/>
    <w:rsid w:val="003678A3"/>
    <w:rsid w:val="003679F3"/>
    <w:rsid w:val="00367BA9"/>
    <w:rsid w:val="00367DF8"/>
    <w:rsid w:val="00370093"/>
    <w:rsid w:val="003700EA"/>
    <w:rsid w:val="00370155"/>
    <w:rsid w:val="003702C3"/>
    <w:rsid w:val="0037038C"/>
    <w:rsid w:val="0037076D"/>
    <w:rsid w:val="00370967"/>
    <w:rsid w:val="00370BA0"/>
    <w:rsid w:val="00370BB6"/>
    <w:rsid w:val="00370BDD"/>
    <w:rsid w:val="00370F26"/>
    <w:rsid w:val="003711CC"/>
    <w:rsid w:val="00371233"/>
    <w:rsid w:val="003712CE"/>
    <w:rsid w:val="00371924"/>
    <w:rsid w:val="00371AF2"/>
    <w:rsid w:val="00371CA8"/>
    <w:rsid w:val="00371DDB"/>
    <w:rsid w:val="003721DE"/>
    <w:rsid w:val="00372365"/>
    <w:rsid w:val="00372765"/>
    <w:rsid w:val="003727C2"/>
    <w:rsid w:val="003728DB"/>
    <w:rsid w:val="003728F2"/>
    <w:rsid w:val="003728FC"/>
    <w:rsid w:val="003729C8"/>
    <w:rsid w:val="00372B28"/>
    <w:rsid w:val="00372C20"/>
    <w:rsid w:val="00372F99"/>
    <w:rsid w:val="00372FB4"/>
    <w:rsid w:val="003730E3"/>
    <w:rsid w:val="003730E4"/>
    <w:rsid w:val="003731D0"/>
    <w:rsid w:val="003731D2"/>
    <w:rsid w:val="0037345A"/>
    <w:rsid w:val="0037357C"/>
    <w:rsid w:val="003736BE"/>
    <w:rsid w:val="0037374E"/>
    <w:rsid w:val="00373891"/>
    <w:rsid w:val="003738FA"/>
    <w:rsid w:val="00373B7A"/>
    <w:rsid w:val="00373C40"/>
    <w:rsid w:val="00373DA4"/>
    <w:rsid w:val="00373E7F"/>
    <w:rsid w:val="00373EF0"/>
    <w:rsid w:val="00374053"/>
    <w:rsid w:val="003742F2"/>
    <w:rsid w:val="003743F4"/>
    <w:rsid w:val="0037457A"/>
    <w:rsid w:val="003745AD"/>
    <w:rsid w:val="0037493B"/>
    <w:rsid w:val="00374B42"/>
    <w:rsid w:val="00374D3D"/>
    <w:rsid w:val="00375001"/>
    <w:rsid w:val="003752C4"/>
    <w:rsid w:val="00375650"/>
    <w:rsid w:val="003757B2"/>
    <w:rsid w:val="003758C3"/>
    <w:rsid w:val="00375A67"/>
    <w:rsid w:val="00375EC5"/>
    <w:rsid w:val="0037600B"/>
    <w:rsid w:val="00376277"/>
    <w:rsid w:val="0037641A"/>
    <w:rsid w:val="00376625"/>
    <w:rsid w:val="003766FE"/>
    <w:rsid w:val="0037684C"/>
    <w:rsid w:val="00376A23"/>
    <w:rsid w:val="00376B79"/>
    <w:rsid w:val="00376E5D"/>
    <w:rsid w:val="00376F32"/>
    <w:rsid w:val="00377175"/>
    <w:rsid w:val="003772FA"/>
    <w:rsid w:val="0037749C"/>
    <w:rsid w:val="00377639"/>
    <w:rsid w:val="003776F8"/>
    <w:rsid w:val="003777E3"/>
    <w:rsid w:val="00377943"/>
    <w:rsid w:val="00377A82"/>
    <w:rsid w:val="00377AA1"/>
    <w:rsid w:val="00377CB1"/>
    <w:rsid w:val="00377D1B"/>
    <w:rsid w:val="003801A3"/>
    <w:rsid w:val="003801C4"/>
    <w:rsid w:val="003803C2"/>
    <w:rsid w:val="0038085D"/>
    <w:rsid w:val="003808B6"/>
    <w:rsid w:val="00380B23"/>
    <w:rsid w:val="00380B7B"/>
    <w:rsid w:val="00380CD8"/>
    <w:rsid w:val="00380DC5"/>
    <w:rsid w:val="00380EFF"/>
    <w:rsid w:val="00380FF2"/>
    <w:rsid w:val="00381057"/>
    <w:rsid w:val="00381556"/>
    <w:rsid w:val="0038161E"/>
    <w:rsid w:val="003817C5"/>
    <w:rsid w:val="00381B8D"/>
    <w:rsid w:val="00381CCD"/>
    <w:rsid w:val="00381F63"/>
    <w:rsid w:val="003820E3"/>
    <w:rsid w:val="003821BC"/>
    <w:rsid w:val="00382397"/>
    <w:rsid w:val="003824C9"/>
    <w:rsid w:val="003825D2"/>
    <w:rsid w:val="00382A94"/>
    <w:rsid w:val="00382BFC"/>
    <w:rsid w:val="00382F1C"/>
    <w:rsid w:val="003830CF"/>
    <w:rsid w:val="00383154"/>
    <w:rsid w:val="00383248"/>
    <w:rsid w:val="00383462"/>
    <w:rsid w:val="003836C8"/>
    <w:rsid w:val="00383771"/>
    <w:rsid w:val="00383D2B"/>
    <w:rsid w:val="00383D45"/>
    <w:rsid w:val="00384083"/>
    <w:rsid w:val="003840E7"/>
    <w:rsid w:val="0038411E"/>
    <w:rsid w:val="0038420E"/>
    <w:rsid w:val="0038424E"/>
    <w:rsid w:val="003842E7"/>
    <w:rsid w:val="003844F1"/>
    <w:rsid w:val="00384590"/>
    <w:rsid w:val="003848A4"/>
    <w:rsid w:val="00384B69"/>
    <w:rsid w:val="00384C04"/>
    <w:rsid w:val="00384C10"/>
    <w:rsid w:val="00384C9A"/>
    <w:rsid w:val="00384D42"/>
    <w:rsid w:val="00384D8B"/>
    <w:rsid w:val="00384E0B"/>
    <w:rsid w:val="003850EF"/>
    <w:rsid w:val="0038534D"/>
    <w:rsid w:val="00385692"/>
    <w:rsid w:val="00385A45"/>
    <w:rsid w:val="00385CBB"/>
    <w:rsid w:val="00385CCC"/>
    <w:rsid w:val="00385DC7"/>
    <w:rsid w:val="00386001"/>
    <w:rsid w:val="00386099"/>
    <w:rsid w:val="0038636E"/>
    <w:rsid w:val="003864FF"/>
    <w:rsid w:val="003865A9"/>
    <w:rsid w:val="00386826"/>
    <w:rsid w:val="00386882"/>
    <w:rsid w:val="003868D5"/>
    <w:rsid w:val="00386908"/>
    <w:rsid w:val="00386B88"/>
    <w:rsid w:val="00386BA5"/>
    <w:rsid w:val="00386CA8"/>
    <w:rsid w:val="00386DB1"/>
    <w:rsid w:val="00386EA3"/>
    <w:rsid w:val="00387260"/>
    <w:rsid w:val="00387613"/>
    <w:rsid w:val="003877D3"/>
    <w:rsid w:val="00387A37"/>
    <w:rsid w:val="00387DAC"/>
    <w:rsid w:val="00387F2F"/>
    <w:rsid w:val="00387FB5"/>
    <w:rsid w:val="0039002E"/>
    <w:rsid w:val="003904C1"/>
    <w:rsid w:val="00390A2C"/>
    <w:rsid w:val="00390C2F"/>
    <w:rsid w:val="00390E6F"/>
    <w:rsid w:val="00390FB3"/>
    <w:rsid w:val="00391151"/>
    <w:rsid w:val="003911A0"/>
    <w:rsid w:val="00391252"/>
    <w:rsid w:val="00391284"/>
    <w:rsid w:val="00391303"/>
    <w:rsid w:val="00391553"/>
    <w:rsid w:val="003916AA"/>
    <w:rsid w:val="0039184E"/>
    <w:rsid w:val="00391C0C"/>
    <w:rsid w:val="00391C7B"/>
    <w:rsid w:val="00391F6D"/>
    <w:rsid w:val="00391FF2"/>
    <w:rsid w:val="003920CD"/>
    <w:rsid w:val="003922B6"/>
    <w:rsid w:val="00392420"/>
    <w:rsid w:val="00392577"/>
    <w:rsid w:val="003926ED"/>
    <w:rsid w:val="003928AC"/>
    <w:rsid w:val="003928E0"/>
    <w:rsid w:val="00392984"/>
    <w:rsid w:val="00392A38"/>
    <w:rsid w:val="00392ABD"/>
    <w:rsid w:val="00392DCC"/>
    <w:rsid w:val="00392EA9"/>
    <w:rsid w:val="00392F20"/>
    <w:rsid w:val="00392F6F"/>
    <w:rsid w:val="00393083"/>
    <w:rsid w:val="00393704"/>
    <w:rsid w:val="003937AC"/>
    <w:rsid w:val="00393841"/>
    <w:rsid w:val="00393AA2"/>
    <w:rsid w:val="00393C16"/>
    <w:rsid w:val="00393C64"/>
    <w:rsid w:val="003940B2"/>
    <w:rsid w:val="003941E5"/>
    <w:rsid w:val="0039437E"/>
    <w:rsid w:val="003943DC"/>
    <w:rsid w:val="00394423"/>
    <w:rsid w:val="00394552"/>
    <w:rsid w:val="003946CF"/>
    <w:rsid w:val="0039471E"/>
    <w:rsid w:val="00394B70"/>
    <w:rsid w:val="00394CC5"/>
    <w:rsid w:val="00394CD0"/>
    <w:rsid w:val="00394D54"/>
    <w:rsid w:val="00394E0D"/>
    <w:rsid w:val="0039528B"/>
    <w:rsid w:val="00395352"/>
    <w:rsid w:val="00395430"/>
    <w:rsid w:val="003954BE"/>
    <w:rsid w:val="00395573"/>
    <w:rsid w:val="00395592"/>
    <w:rsid w:val="003955BA"/>
    <w:rsid w:val="003956ED"/>
    <w:rsid w:val="00395983"/>
    <w:rsid w:val="003959CE"/>
    <w:rsid w:val="003959D5"/>
    <w:rsid w:val="00395ACB"/>
    <w:rsid w:val="00395CD9"/>
    <w:rsid w:val="00395E05"/>
    <w:rsid w:val="0039610B"/>
    <w:rsid w:val="0039614F"/>
    <w:rsid w:val="003962B8"/>
    <w:rsid w:val="00396657"/>
    <w:rsid w:val="0039682A"/>
    <w:rsid w:val="0039682E"/>
    <w:rsid w:val="00396873"/>
    <w:rsid w:val="003969E6"/>
    <w:rsid w:val="003969FC"/>
    <w:rsid w:val="00396BED"/>
    <w:rsid w:val="00396D80"/>
    <w:rsid w:val="00396FDF"/>
    <w:rsid w:val="0039737C"/>
    <w:rsid w:val="0039788B"/>
    <w:rsid w:val="00397AB6"/>
    <w:rsid w:val="00397B22"/>
    <w:rsid w:val="00397C07"/>
    <w:rsid w:val="00397C70"/>
    <w:rsid w:val="00397C87"/>
    <w:rsid w:val="00397D4F"/>
    <w:rsid w:val="00397F5F"/>
    <w:rsid w:val="003A01C8"/>
    <w:rsid w:val="003A01D6"/>
    <w:rsid w:val="003A031C"/>
    <w:rsid w:val="003A0562"/>
    <w:rsid w:val="003A06F1"/>
    <w:rsid w:val="003A0856"/>
    <w:rsid w:val="003A0875"/>
    <w:rsid w:val="003A0983"/>
    <w:rsid w:val="003A102E"/>
    <w:rsid w:val="003A1328"/>
    <w:rsid w:val="003A1726"/>
    <w:rsid w:val="003A18BF"/>
    <w:rsid w:val="003A18F2"/>
    <w:rsid w:val="003A1D6D"/>
    <w:rsid w:val="003A1D94"/>
    <w:rsid w:val="003A1E62"/>
    <w:rsid w:val="003A1EB5"/>
    <w:rsid w:val="003A1FB4"/>
    <w:rsid w:val="003A20A2"/>
    <w:rsid w:val="003A21A6"/>
    <w:rsid w:val="003A2384"/>
    <w:rsid w:val="003A24C9"/>
    <w:rsid w:val="003A269C"/>
    <w:rsid w:val="003A28E9"/>
    <w:rsid w:val="003A2993"/>
    <w:rsid w:val="003A2AD0"/>
    <w:rsid w:val="003A2C22"/>
    <w:rsid w:val="003A2C59"/>
    <w:rsid w:val="003A2DDF"/>
    <w:rsid w:val="003A2F05"/>
    <w:rsid w:val="003A2F18"/>
    <w:rsid w:val="003A2FB0"/>
    <w:rsid w:val="003A3187"/>
    <w:rsid w:val="003A328D"/>
    <w:rsid w:val="003A3457"/>
    <w:rsid w:val="003A3552"/>
    <w:rsid w:val="003A36F6"/>
    <w:rsid w:val="003A384F"/>
    <w:rsid w:val="003A3F43"/>
    <w:rsid w:val="003A3FEE"/>
    <w:rsid w:val="003A407F"/>
    <w:rsid w:val="003A4354"/>
    <w:rsid w:val="003A43F1"/>
    <w:rsid w:val="003A4436"/>
    <w:rsid w:val="003A456D"/>
    <w:rsid w:val="003A4575"/>
    <w:rsid w:val="003A45E0"/>
    <w:rsid w:val="003A4673"/>
    <w:rsid w:val="003A47B2"/>
    <w:rsid w:val="003A4A08"/>
    <w:rsid w:val="003A4A44"/>
    <w:rsid w:val="003A4BE1"/>
    <w:rsid w:val="003A4BF4"/>
    <w:rsid w:val="003A4E54"/>
    <w:rsid w:val="003A4FA3"/>
    <w:rsid w:val="003A50BA"/>
    <w:rsid w:val="003A5132"/>
    <w:rsid w:val="003A516A"/>
    <w:rsid w:val="003A53F3"/>
    <w:rsid w:val="003A57F4"/>
    <w:rsid w:val="003A59FA"/>
    <w:rsid w:val="003A5A75"/>
    <w:rsid w:val="003A5CE6"/>
    <w:rsid w:val="003A5DB9"/>
    <w:rsid w:val="003A5F17"/>
    <w:rsid w:val="003A5F1F"/>
    <w:rsid w:val="003A5FAC"/>
    <w:rsid w:val="003A6105"/>
    <w:rsid w:val="003A6217"/>
    <w:rsid w:val="003A65B2"/>
    <w:rsid w:val="003A65C3"/>
    <w:rsid w:val="003A6792"/>
    <w:rsid w:val="003A679E"/>
    <w:rsid w:val="003A68F2"/>
    <w:rsid w:val="003A6933"/>
    <w:rsid w:val="003A6936"/>
    <w:rsid w:val="003A6BE7"/>
    <w:rsid w:val="003A6F74"/>
    <w:rsid w:val="003A7035"/>
    <w:rsid w:val="003A72B4"/>
    <w:rsid w:val="003A750E"/>
    <w:rsid w:val="003A777A"/>
    <w:rsid w:val="003A784B"/>
    <w:rsid w:val="003A79F1"/>
    <w:rsid w:val="003A7AAA"/>
    <w:rsid w:val="003A7B6C"/>
    <w:rsid w:val="003A7CBE"/>
    <w:rsid w:val="003A7D9E"/>
    <w:rsid w:val="003A7DBA"/>
    <w:rsid w:val="003A7DCF"/>
    <w:rsid w:val="003A7EB2"/>
    <w:rsid w:val="003B0179"/>
    <w:rsid w:val="003B02C0"/>
    <w:rsid w:val="003B0570"/>
    <w:rsid w:val="003B0680"/>
    <w:rsid w:val="003B070D"/>
    <w:rsid w:val="003B0716"/>
    <w:rsid w:val="003B0976"/>
    <w:rsid w:val="003B0A0B"/>
    <w:rsid w:val="003B0A86"/>
    <w:rsid w:val="003B0A91"/>
    <w:rsid w:val="003B0D13"/>
    <w:rsid w:val="003B0DA5"/>
    <w:rsid w:val="003B0FA7"/>
    <w:rsid w:val="003B152C"/>
    <w:rsid w:val="003B15EE"/>
    <w:rsid w:val="003B1640"/>
    <w:rsid w:val="003B175F"/>
    <w:rsid w:val="003B1775"/>
    <w:rsid w:val="003B1894"/>
    <w:rsid w:val="003B18CC"/>
    <w:rsid w:val="003B1A44"/>
    <w:rsid w:val="003B1E46"/>
    <w:rsid w:val="003B20B4"/>
    <w:rsid w:val="003B2356"/>
    <w:rsid w:val="003B242F"/>
    <w:rsid w:val="003B2516"/>
    <w:rsid w:val="003B25B5"/>
    <w:rsid w:val="003B27E3"/>
    <w:rsid w:val="003B27E5"/>
    <w:rsid w:val="003B2C96"/>
    <w:rsid w:val="003B2D4E"/>
    <w:rsid w:val="003B2D6D"/>
    <w:rsid w:val="003B328A"/>
    <w:rsid w:val="003B33B1"/>
    <w:rsid w:val="003B37F4"/>
    <w:rsid w:val="003B39FB"/>
    <w:rsid w:val="003B3DFC"/>
    <w:rsid w:val="003B3E48"/>
    <w:rsid w:val="003B3FBF"/>
    <w:rsid w:val="003B408C"/>
    <w:rsid w:val="003B4128"/>
    <w:rsid w:val="003B427A"/>
    <w:rsid w:val="003B44EA"/>
    <w:rsid w:val="003B4506"/>
    <w:rsid w:val="003B476F"/>
    <w:rsid w:val="003B498B"/>
    <w:rsid w:val="003B4A9D"/>
    <w:rsid w:val="003B4AA8"/>
    <w:rsid w:val="003B4ABB"/>
    <w:rsid w:val="003B4D2E"/>
    <w:rsid w:val="003B4F58"/>
    <w:rsid w:val="003B5048"/>
    <w:rsid w:val="003B5173"/>
    <w:rsid w:val="003B532E"/>
    <w:rsid w:val="003B5651"/>
    <w:rsid w:val="003B57A9"/>
    <w:rsid w:val="003B5A38"/>
    <w:rsid w:val="003B5B92"/>
    <w:rsid w:val="003B5BB6"/>
    <w:rsid w:val="003B5BB8"/>
    <w:rsid w:val="003B5E10"/>
    <w:rsid w:val="003B5E5E"/>
    <w:rsid w:val="003B5ED2"/>
    <w:rsid w:val="003B6170"/>
    <w:rsid w:val="003B641C"/>
    <w:rsid w:val="003B645D"/>
    <w:rsid w:val="003B6674"/>
    <w:rsid w:val="003B66DF"/>
    <w:rsid w:val="003B673B"/>
    <w:rsid w:val="003B68C0"/>
    <w:rsid w:val="003B693F"/>
    <w:rsid w:val="003B6A89"/>
    <w:rsid w:val="003B6AE2"/>
    <w:rsid w:val="003B6D56"/>
    <w:rsid w:val="003B6DFD"/>
    <w:rsid w:val="003B701D"/>
    <w:rsid w:val="003B7163"/>
    <w:rsid w:val="003B7352"/>
    <w:rsid w:val="003B7513"/>
    <w:rsid w:val="003B7551"/>
    <w:rsid w:val="003B75E4"/>
    <w:rsid w:val="003B7601"/>
    <w:rsid w:val="003B7749"/>
    <w:rsid w:val="003B7775"/>
    <w:rsid w:val="003B7837"/>
    <w:rsid w:val="003B7931"/>
    <w:rsid w:val="003B7A70"/>
    <w:rsid w:val="003B7B76"/>
    <w:rsid w:val="003C00DF"/>
    <w:rsid w:val="003C00EB"/>
    <w:rsid w:val="003C01DF"/>
    <w:rsid w:val="003C022C"/>
    <w:rsid w:val="003C03B7"/>
    <w:rsid w:val="003C0605"/>
    <w:rsid w:val="003C07E3"/>
    <w:rsid w:val="003C0955"/>
    <w:rsid w:val="003C0A80"/>
    <w:rsid w:val="003C0BF5"/>
    <w:rsid w:val="003C10E0"/>
    <w:rsid w:val="003C1147"/>
    <w:rsid w:val="003C11E0"/>
    <w:rsid w:val="003C12B6"/>
    <w:rsid w:val="003C12C7"/>
    <w:rsid w:val="003C13C8"/>
    <w:rsid w:val="003C13EB"/>
    <w:rsid w:val="003C1903"/>
    <w:rsid w:val="003C1936"/>
    <w:rsid w:val="003C1B20"/>
    <w:rsid w:val="003C1BF3"/>
    <w:rsid w:val="003C1C10"/>
    <w:rsid w:val="003C1D48"/>
    <w:rsid w:val="003C1DFE"/>
    <w:rsid w:val="003C1F3D"/>
    <w:rsid w:val="003C21C7"/>
    <w:rsid w:val="003C2336"/>
    <w:rsid w:val="003C2518"/>
    <w:rsid w:val="003C272E"/>
    <w:rsid w:val="003C27A4"/>
    <w:rsid w:val="003C28F3"/>
    <w:rsid w:val="003C294E"/>
    <w:rsid w:val="003C2997"/>
    <w:rsid w:val="003C2B6E"/>
    <w:rsid w:val="003C2CDE"/>
    <w:rsid w:val="003C2DAF"/>
    <w:rsid w:val="003C2F98"/>
    <w:rsid w:val="003C3001"/>
    <w:rsid w:val="003C3132"/>
    <w:rsid w:val="003C31D2"/>
    <w:rsid w:val="003C32A2"/>
    <w:rsid w:val="003C33A3"/>
    <w:rsid w:val="003C33AD"/>
    <w:rsid w:val="003C344B"/>
    <w:rsid w:val="003C3910"/>
    <w:rsid w:val="003C3958"/>
    <w:rsid w:val="003C3993"/>
    <w:rsid w:val="003C3EC3"/>
    <w:rsid w:val="003C4141"/>
    <w:rsid w:val="003C42E1"/>
    <w:rsid w:val="003C4323"/>
    <w:rsid w:val="003C460F"/>
    <w:rsid w:val="003C46F1"/>
    <w:rsid w:val="003C485C"/>
    <w:rsid w:val="003C4AA7"/>
    <w:rsid w:val="003C529C"/>
    <w:rsid w:val="003C52A0"/>
    <w:rsid w:val="003C5488"/>
    <w:rsid w:val="003C548C"/>
    <w:rsid w:val="003C59C5"/>
    <w:rsid w:val="003C5A50"/>
    <w:rsid w:val="003C5AE2"/>
    <w:rsid w:val="003C5BA9"/>
    <w:rsid w:val="003C5BBD"/>
    <w:rsid w:val="003C5C79"/>
    <w:rsid w:val="003C5CA7"/>
    <w:rsid w:val="003C5CBC"/>
    <w:rsid w:val="003C5CEA"/>
    <w:rsid w:val="003C5FF3"/>
    <w:rsid w:val="003C61AD"/>
    <w:rsid w:val="003C6473"/>
    <w:rsid w:val="003C6476"/>
    <w:rsid w:val="003C64A3"/>
    <w:rsid w:val="003C659B"/>
    <w:rsid w:val="003C65ED"/>
    <w:rsid w:val="003C661C"/>
    <w:rsid w:val="003C6696"/>
    <w:rsid w:val="003C6709"/>
    <w:rsid w:val="003C672D"/>
    <w:rsid w:val="003C6761"/>
    <w:rsid w:val="003C68C7"/>
    <w:rsid w:val="003C6A73"/>
    <w:rsid w:val="003C6ACC"/>
    <w:rsid w:val="003C6C63"/>
    <w:rsid w:val="003C6C7A"/>
    <w:rsid w:val="003C6C89"/>
    <w:rsid w:val="003C6EF7"/>
    <w:rsid w:val="003C707F"/>
    <w:rsid w:val="003C70AC"/>
    <w:rsid w:val="003C71E0"/>
    <w:rsid w:val="003C7209"/>
    <w:rsid w:val="003C72AD"/>
    <w:rsid w:val="003C7498"/>
    <w:rsid w:val="003C775E"/>
    <w:rsid w:val="003C7B47"/>
    <w:rsid w:val="003C7E08"/>
    <w:rsid w:val="003C7E16"/>
    <w:rsid w:val="003C7ED1"/>
    <w:rsid w:val="003D009B"/>
    <w:rsid w:val="003D026D"/>
    <w:rsid w:val="003D02E9"/>
    <w:rsid w:val="003D0820"/>
    <w:rsid w:val="003D08C1"/>
    <w:rsid w:val="003D0ACD"/>
    <w:rsid w:val="003D0D72"/>
    <w:rsid w:val="003D0F88"/>
    <w:rsid w:val="003D107C"/>
    <w:rsid w:val="003D10D5"/>
    <w:rsid w:val="003D1515"/>
    <w:rsid w:val="003D1AC5"/>
    <w:rsid w:val="003D1D55"/>
    <w:rsid w:val="003D1D7A"/>
    <w:rsid w:val="003D1DEA"/>
    <w:rsid w:val="003D24AA"/>
    <w:rsid w:val="003D2759"/>
    <w:rsid w:val="003D27A4"/>
    <w:rsid w:val="003D29AD"/>
    <w:rsid w:val="003D2C9C"/>
    <w:rsid w:val="003D2DC9"/>
    <w:rsid w:val="003D325C"/>
    <w:rsid w:val="003D327A"/>
    <w:rsid w:val="003D33C7"/>
    <w:rsid w:val="003D354D"/>
    <w:rsid w:val="003D368B"/>
    <w:rsid w:val="003D384F"/>
    <w:rsid w:val="003D38BB"/>
    <w:rsid w:val="003D3A7D"/>
    <w:rsid w:val="003D3E21"/>
    <w:rsid w:val="003D4190"/>
    <w:rsid w:val="003D44E5"/>
    <w:rsid w:val="003D49E1"/>
    <w:rsid w:val="003D4C0E"/>
    <w:rsid w:val="003D4C81"/>
    <w:rsid w:val="003D4E3D"/>
    <w:rsid w:val="003D4F83"/>
    <w:rsid w:val="003D5455"/>
    <w:rsid w:val="003D56A2"/>
    <w:rsid w:val="003D5854"/>
    <w:rsid w:val="003D5935"/>
    <w:rsid w:val="003D59A5"/>
    <w:rsid w:val="003D5A3E"/>
    <w:rsid w:val="003D5C6D"/>
    <w:rsid w:val="003D5D38"/>
    <w:rsid w:val="003D5E15"/>
    <w:rsid w:val="003D5FC7"/>
    <w:rsid w:val="003D6045"/>
    <w:rsid w:val="003D605C"/>
    <w:rsid w:val="003D6092"/>
    <w:rsid w:val="003D60A5"/>
    <w:rsid w:val="003D65E8"/>
    <w:rsid w:val="003D69B7"/>
    <w:rsid w:val="003D69CD"/>
    <w:rsid w:val="003D6C59"/>
    <w:rsid w:val="003D6E47"/>
    <w:rsid w:val="003D7060"/>
    <w:rsid w:val="003D70F3"/>
    <w:rsid w:val="003D7283"/>
    <w:rsid w:val="003D72FE"/>
    <w:rsid w:val="003D7314"/>
    <w:rsid w:val="003D7378"/>
    <w:rsid w:val="003D7705"/>
    <w:rsid w:val="003D797A"/>
    <w:rsid w:val="003D7B03"/>
    <w:rsid w:val="003D7CED"/>
    <w:rsid w:val="003D7D55"/>
    <w:rsid w:val="003D7E4C"/>
    <w:rsid w:val="003D7F7D"/>
    <w:rsid w:val="003E0088"/>
    <w:rsid w:val="003E01D9"/>
    <w:rsid w:val="003E0360"/>
    <w:rsid w:val="003E0470"/>
    <w:rsid w:val="003E04B3"/>
    <w:rsid w:val="003E06CB"/>
    <w:rsid w:val="003E0A5B"/>
    <w:rsid w:val="003E0A5D"/>
    <w:rsid w:val="003E0C44"/>
    <w:rsid w:val="003E0D12"/>
    <w:rsid w:val="003E0D81"/>
    <w:rsid w:val="003E0DCE"/>
    <w:rsid w:val="003E0F2A"/>
    <w:rsid w:val="003E1145"/>
    <w:rsid w:val="003E11AF"/>
    <w:rsid w:val="003E145C"/>
    <w:rsid w:val="003E14DD"/>
    <w:rsid w:val="003E14E3"/>
    <w:rsid w:val="003E15B2"/>
    <w:rsid w:val="003E16E5"/>
    <w:rsid w:val="003E1768"/>
    <w:rsid w:val="003E18D7"/>
    <w:rsid w:val="003E1A8C"/>
    <w:rsid w:val="003E1C0E"/>
    <w:rsid w:val="003E1D2D"/>
    <w:rsid w:val="003E1E1E"/>
    <w:rsid w:val="003E225A"/>
    <w:rsid w:val="003E24C5"/>
    <w:rsid w:val="003E264E"/>
    <w:rsid w:val="003E285E"/>
    <w:rsid w:val="003E290D"/>
    <w:rsid w:val="003E29CF"/>
    <w:rsid w:val="003E2D24"/>
    <w:rsid w:val="003E2F73"/>
    <w:rsid w:val="003E318D"/>
    <w:rsid w:val="003E32F5"/>
    <w:rsid w:val="003E3389"/>
    <w:rsid w:val="003E3479"/>
    <w:rsid w:val="003E34B5"/>
    <w:rsid w:val="003E3653"/>
    <w:rsid w:val="003E38F9"/>
    <w:rsid w:val="003E39CF"/>
    <w:rsid w:val="003E3BB4"/>
    <w:rsid w:val="003E3D3B"/>
    <w:rsid w:val="003E4166"/>
    <w:rsid w:val="003E4611"/>
    <w:rsid w:val="003E47D9"/>
    <w:rsid w:val="003E48A6"/>
    <w:rsid w:val="003E48BF"/>
    <w:rsid w:val="003E4ABB"/>
    <w:rsid w:val="003E52DD"/>
    <w:rsid w:val="003E5381"/>
    <w:rsid w:val="003E551F"/>
    <w:rsid w:val="003E574E"/>
    <w:rsid w:val="003E57D9"/>
    <w:rsid w:val="003E5859"/>
    <w:rsid w:val="003E5886"/>
    <w:rsid w:val="003E5C52"/>
    <w:rsid w:val="003E5D48"/>
    <w:rsid w:val="003E5E54"/>
    <w:rsid w:val="003E5FD6"/>
    <w:rsid w:val="003E6221"/>
    <w:rsid w:val="003E6321"/>
    <w:rsid w:val="003E6471"/>
    <w:rsid w:val="003E683B"/>
    <w:rsid w:val="003E68B9"/>
    <w:rsid w:val="003E6CD5"/>
    <w:rsid w:val="003E6CEB"/>
    <w:rsid w:val="003E6CF1"/>
    <w:rsid w:val="003E6E9C"/>
    <w:rsid w:val="003E7077"/>
    <w:rsid w:val="003E71B5"/>
    <w:rsid w:val="003E7495"/>
    <w:rsid w:val="003E75D5"/>
    <w:rsid w:val="003E76CB"/>
    <w:rsid w:val="003E77CF"/>
    <w:rsid w:val="003E78F1"/>
    <w:rsid w:val="003E790E"/>
    <w:rsid w:val="003E7C69"/>
    <w:rsid w:val="003E7DA4"/>
    <w:rsid w:val="003E7DE2"/>
    <w:rsid w:val="003E7F11"/>
    <w:rsid w:val="003E7FD7"/>
    <w:rsid w:val="003F06DC"/>
    <w:rsid w:val="003F0738"/>
    <w:rsid w:val="003F0758"/>
    <w:rsid w:val="003F08DB"/>
    <w:rsid w:val="003F08F7"/>
    <w:rsid w:val="003F0A5C"/>
    <w:rsid w:val="003F0A75"/>
    <w:rsid w:val="003F0A92"/>
    <w:rsid w:val="003F0B11"/>
    <w:rsid w:val="003F0B31"/>
    <w:rsid w:val="003F0D40"/>
    <w:rsid w:val="003F0E08"/>
    <w:rsid w:val="003F1019"/>
    <w:rsid w:val="003F102C"/>
    <w:rsid w:val="003F1088"/>
    <w:rsid w:val="003F1136"/>
    <w:rsid w:val="003F13B4"/>
    <w:rsid w:val="003F13DE"/>
    <w:rsid w:val="003F15AE"/>
    <w:rsid w:val="003F17CE"/>
    <w:rsid w:val="003F1A02"/>
    <w:rsid w:val="003F1B0D"/>
    <w:rsid w:val="003F1BDF"/>
    <w:rsid w:val="003F1FBA"/>
    <w:rsid w:val="003F203C"/>
    <w:rsid w:val="003F2276"/>
    <w:rsid w:val="003F2355"/>
    <w:rsid w:val="003F26FC"/>
    <w:rsid w:val="003F281E"/>
    <w:rsid w:val="003F28B1"/>
    <w:rsid w:val="003F2A54"/>
    <w:rsid w:val="003F2B53"/>
    <w:rsid w:val="003F2E21"/>
    <w:rsid w:val="003F35D6"/>
    <w:rsid w:val="003F370E"/>
    <w:rsid w:val="003F3762"/>
    <w:rsid w:val="003F386F"/>
    <w:rsid w:val="003F3AA2"/>
    <w:rsid w:val="003F3AAB"/>
    <w:rsid w:val="003F3C03"/>
    <w:rsid w:val="003F3FF4"/>
    <w:rsid w:val="003F4024"/>
    <w:rsid w:val="003F4133"/>
    <w:rsid w:val="003F4206"/>
    <w:rsid w:val="003F4254"/>
    <w:rsid w:val="003F4351"/>
    <w:rsid w:val="003F487B"/>
    <w:rsid w:val="003F48E2"/>
    <w:rsid w:val="003F4DA9"/>
    <w:rsid w:val="003F4DDE"/>
    <w:rsid w:val="003F5319"/>
    <w:rsid w:val="003F5412"/>
    <w:rsid w:val="003F576B"/>
    <w:rsid w:val="003F57DE"/>
    <w:rsid w:val="003F58BA"/>
    <w:rsid w:val="003F5BEC"/>
    <w:rsid w:val="003F5BF6"/>
    <w:rsid w:val="003F5D30"/>
    <w:rsid w:val="003F5E2E"/>
    <w:rsid w:val="003F5EB6"/>
    <w:rsid w:val="003F648D"/>
    <w:rsid w:val="003F67F2"/>
    <w:rsid w:val="003F6CCA"/>
    <w:rsid w:val="003F6DBE"/>
    <w:rsid w:val="003F6EC1"/>
    <w:rsid w:val="003F7107"/>
    <w:rsid w:val="003F74E9"/>
    <w:rsid w:val="003F7717"/>
    <w:rsid w:val="003F777A"/>
    <w:rsid w:val="003F7902"/>
    <w:rsid w:val="003F7AE5"/>
    <w:rsid w:val="003F7CDF"/>
    <w:rsid w:val="003F7E03"/>
    <w:rsid w:val="003F7FC0"/>
    <w:rsid w:val="003F7FDA"/>
    <w:rsid w:val="00400097"/>
    <w:rsid w:val="00400362"/>
    <w:rsid w:val="004003B0"/>
    <w:rsid w:val="00400592"/>
    <w:rsid w:val="00400645"/>
    <w:rsid w:val="0040068E"/>
    <w:rsid w:val="004006C9"/>
    <w:rsid w:val="00400957"/>
    <w:rsid w:val="004009B9"/>
    <w:rsid w:val="00400A22"/>
    <w:rsid w:val="00400B1A"/>
    <w:rsid w:val="00400E7B"/>
    <w:rsid w:val="00400F08"/>
    <w:rsid w:val="004014DF"/>
    <w:rsid w:val="0040157E"/>
    <w:rsid w:val="004015F9"/>
    <w:rsid w:val="00401618"/>
    <w:rsid w:val="00401A48"/>
    <w:rsid w:val="00401C54"/>
    <w:rsid w:val="00401D9E"/>
    <w:rsid w:val="00401E66"/>
    <w:rsid w:val="00401F21"/>
    <w:rsid w:val="00401F7C"/>
    <w:rsid w:val="0040205C"/>
    <w:rsid w:val="004020A9"/>
    <w:rsid w:val="00402536"/>
    <w:rsid w:val="00402768"/>
    <w:rsid w:val="004027C1"/>
    <w:rsid w:val="004027E2"/>
    <w:rsid w:val="0040280C"/>
    <w:rsid w:val="00402860"/>
    <w:rsid w:val="004029AE"/>
    <w:rsid w:val="00402AC0"/>
    <w:rsid w:val="00402B0F"/>
    <w:rsid w:val="00402BC7"/>
    <w:rsid w:val="00402CDD"/>
    <w:rsid w:val="00402FF0"/>
    <w:rsid w:val="00403065"/>
    <w:rsid w:val="004033AE"/>
    <w:rsid w:val="004033D6"/>
    <w:rsid w:val="0040365A"/>
    <w:rsid w:val="0040373D"/>
    <w:rsid w:val="004038EB"/>
    <w:rsid w:val="00403926"/>
    <w:rsid w:val="00403A29"/>
    <w:rsid w:val="00403B39"/>
    <w:rsid w:val="00403B43"/>
    <w:rsid w:val="00403BFE"/>
    <w:rsid w:val="00403CA9"/>
    <w:rsid w:val="00403CD8"/>
    <w:rsid w:val="00403CE5"/>
    <w:rsid w:val="00403E4F"/>
    <w:rsid w:val="00403F5E"/>
    <w:rsid w:val="00404250"/>
    <w:rsid w:val="0040431A"/>
    <w:rsid w:val="00404565"/>
    <w:rsid w:val="0040464D"/>
    <w:rsid w:val="004047ED"/>
    <w:rsid w:val="00404981"/>
    <w:rsid w:val="00404B4D"/>
    <w:rsid w:val="00404BFE"/>
    <w:rsid w:val="00404D40"/>
    <w:rsid w:val="00404E69"/>
    <w:rsid w:val="00404E8E"/>
    <w:rsid w:val="00404F22"/>
    <w:rsid w:val="00404FF5"/>
    <w:rsid w:val="00405178"/>
    <w:rsid w:val="004055AA"/>
    <w:rsid w:val="004055DE"/>
    <w:rsid w:val="00405603"/>
    <w:rsid w:val="00405615"/>
    <w:rsid w:val="00405727"/>
    <w:rsid w:val="004057C3"/>
    <w:rsid w:val="00405A68"/>
    <w:rsid w:val="00405B8A"/>
    <w:rsid w:val="00405F25"/>
    <w:rsid w:val="00405F2B"/>
    <w:rsid w:val="00405F72"/>
    <w:rsid w:val="004061E9"/>
    <w:rsid w:val="0040629F"/>
    <w:rsid w:val="00406309"/>
    <w:rsid w:val="00406428"/>
    <w:rsid w:val="004065DB"/>
    <w:rsid w:val="004065E9"/>
    <w:rsid w:val="0040663E"/>
    <w:rsid w:val="00406706"/>
    <w:rsid w:val="004068D1"/>
    <w:rsid w:val="00406CB7"/>
    <w:rsid w:val="00406CFF"/>
    <w:rsid w:val="00406D89"/>
    <w:rsid w:val="00406DF9"/>
    <w:rsid w:val="00406E39"/>
    <w:rsid w:val="00406FCF"/>
    <w:rsid w:val="004070C5"/>
    <w:rsid w:val="0040720D"/>
    <w:rsid w:val="004074FF"/>
    <w:rsid w:val="00407596"/>
    <w:rsid w:val="004075DC"/>
    <w:rsid w:val="004079DD"/>
    <w:rsid w:val="004079EE"/>
    <w:rsid w:val="00407CBD"/>
    <w:rsid w:val="00407DDB"/>
    <w:rsid w:val="00410017"/>
    <w:rsid w:val="00410224"/>
    <w:rsid w:val="00410365"/>
    <w:rsid w:val="00410513"/>
    <w:rsid w:val="00410588"/>
    <w:rsid w:val="004107CB"/>
    <w:rsid w:val="00410A6E"/>
    <w:rsid w:val="00410D3E"/>
    <w:rsid w:val="00410E28"/>
    <w:rsid w:val="00410E8D"/>
    <w:rsid w:val="0041104D"/>
    <w:rsid w:val="00411323"/>
    <w:rsid w:val="004116AE"/>
    <w:rsid w:val="00411731"/>
    <w:rsid w:val="004117D2"/>
    <w:rsid w:val="004119B1"/>
    <w:rsid w:val="00411A0E"/>
    <w:rsid w:val="00411A44"/>
    <w:rsid w:val="00411AC5"/>
    <w:rsid w:val="00411DFF"/>
    <w:rsid w:val="00411FFB"/>
    <w:rsid w:val="0041200E"/>
    <w:rsid w:val="0041204B"/>
    <w:rsid w:val="004122DE"/>
    <w:rsid w:val="004123AC"/>
    <w:rsid w:val="0041252C"/>
    <w:rsid w:val="00412963"/>
    <w:rsid w:val="00412A80"/>
    <w:rsid w:val="00412BCF"/>
    <w:rsid w:val="00412ED4"/>
    <w:rsid w:val="00412F5C"/>
    <w:rsid w:val="00412F9C"/>
    <w:rsid w:val="00412FFC"/>
    <w:rsid w:val="00413039"/>
    <w:rsid w:val="0041310A"/>
    <w:rsid w:val="00413575"/>
    <w:rsid w:val="004135F0"/>
    <w:rsid w:val="004137FD"/>
    <w:rsid w:val="0041389E"/>
    <w:rsid w:val="004138B4"/>
    <w:rsid w:val="00413926"/>
    <w:rsid w:val="00413B55"/>
    <w:rsid w:val="00413E77"/>
    <w:rsid w:val="00414073"/>
    <w:rsid w:val="004142CB"/>
    <w:rsid w:val="00414481"/>
    <w:rsid w:val="0041474A"/>
    <w:rsid w:val="0041479E"/>
    <w:rsid w:val="00414AEC"/>
    <w:rsid w:val="0041503C"/>
    <w:rsid w:val="00415445"/>
    <w:rsid w:val="00415554"/>
    <w:rsid w:val="00415653"/>
    <w:rsid w:val="00415878"/>
    <w:rsid w:val="004158DC"/>
    <w:rsid w:val="00415E6F"/>
    <w:rsid w:val="00415FFD"/>
    <w:rsid w:val="0041602A"/>
    <w:rsid w:val="00416157"/>
    <w:rsid w:val="0041620F"/>
    <w:rsid w:val="00416393"/>
    <w:rsid w:val="0041655F"/>
    <w:rsid w:val="00416828"/>
    <w:rsid w:val="00416957"/>
    <w:rsid w:val="00416A3C"/>
    <w:rsid w:val="00416B5B"/>
    <w:rsid w:val="00416B7A"/>
    <w:rsid w:val="00416E54"/>
    <w:rsid w:val="004170B7"/>
    <w:rsid w:val="00417173"/>
    <w:rsid w:val="00417579"/>
    <w:rsid w:val="004175D5"/>
    <w:rsid w:val="0041763F"/>
    <w:rsid w:val="0041789F"/>
    <w:rsid w:val="00417B5A"/>
    <w:rsid w:val="00417C8A"/>
    <w:rsid w:val="00420433"/>
    <w:rsid w:val="004204A2"/>
    <w:rsid w:val="004206E5"/>
    <w:rsid w:val="00420AB2"/>
    <w:rsid w:val="00420B69"/>
    <w:rsid w:val="00421069"/>
    <w:rsid w:val="00421425"/>
    <w:rsid w:val="0042166B"/>
    <w:rsid w:val="00421769"/>
    <w:rsid w:val="0042177F"/>
    <w:rsid w:val="00421857"/>
    <w:rsid w:val="004219B4"/>
    <w:rsid w:val="00421A32"/>
    <w:rsid w:val="00421B3D"/>
    <w:rsid w:val="00421C40"/>
    <w:rsid w:val="00421D11"/>
    <w:rsid w:val="00421D90"/>
    <w:rsid w:val="00421FF8"/>
    <w:rsid w:val="004220F9"/>
    <w:rsid w:val="004224C5"/>
    <w:rsid w:val="0042252C"/>
    <w:rsid w:val="004225C5"/>
    <w:rsid w:val="004225E2"/>
    <w:rsid w:val="00422921"/>
    <w:rsid w:val="00422B62"/>
    <w:rsid w:val="00422BF4"/>
    <w:rsid w:val="0042313D"/>
    <w:rsid w:val="00423315"/>
    <w:rsid w:val="004234F2"/>
    <w:rsid w:val="00423592"/>
    <w:rsid w:val="004235BA"/>
    <w:rsid w:val="004236D1"/>
    <w:rsid w:val="00423895"/>
    <w:rsid w:val="004239B9"/>
    <w:rsid w:val="00423CE2"/>
    <w:rsid w:val="00423D2D"/>
    <w:rsid w:val="00423D4A"/>
    <w:rsid w:val="00423D7A"/>
    <w:rsid w:val="00423E09"/>
    <w:rsid w:val="00423E24"/>
    <w:rsid w:val="0042408E"/>
    <w:rsid w:val="00424187"/>
    <w:rsid w:val="00424219"/>
    <w:rsid w:val="0042421C"/>
    <w:rsid w:val="004242B1"/>
    <w:rsid w:val="004242C1"/>
    <w:rsid w:val="0042449E"/>
    <w:rsid w:val="00424733"/>
    <w:rsid w:val="00424814"/>
    <w:rsid w:val="0042485D"/>
    <w:rsid w:val="0042493D"/>
    <w:rsid w:val="004249E0"/>
    <w:rsid w:val="00424A0B"/>
    <w:rsid w:val="00424B4A"/>
    <w:rsid w:val="00424D69"/>
    <w:rsid w:val="00424DC5"/>
    <w:rsid w:val="004252DA"/>
    <w:rsid w:val="004252DD"/>
    <w:rsid w:val="004253EF"/>
    <w:rsid w:val="004254E3"/>
    <w:rsid w:val="00425ADC"/>
    <w:rsid w:val="00425F82"/>
    <w:rsid w:val="00426211"/>
    <w:rsid w:val="004262DC"/>
    <w:rsid w:val="0042668C"/>
    <w:rsid w:val="0042674B"/>
    <w:rsid w:val="0042674F"/>
    <w:rsid w:val="00426754"/>
    <w:rsid w:val="00426878"/>
    <w:rsid w:val="004269D2"/>
    <w:rsid w:val="00426B14"/>
    <w:rsid w:val="00426D74"/>
    <w:rsid w:val="00426FCC"/>
    <w:rsid w:val="00427091"/>
    <w:rsid w:val="00427134"/>
    <w:rsid w:val="00427190"/>
    <w:rsid w:val="0042743A"/>
    <w:rsid w:val="0042748F"/>
    <w:rsid w:val="004274B4"/>
    <w:rsid w:val="004275BC"/>
    <w:rsid w:val="004275CD"/>
    <w:rsid w:val="004275D0"/>
    <w:rsid w:val="00427880"/>
    <w:rsid w:val="00427898"/>
    <w:rsid w:val="004278A3"/>
    <w:rsid w:val="0043031B"/>
    <w:rsid w:val="0043059C"/>
    <w:rsid w:val="00430617"/>
    <w:rsid w:val="004307EB"/>
    <w:rsid w:val="00430BB4"/>
    <w:rsid w:val="00430C49"/>
    <w:rsid w:val="00430F14"/>
    <w:rsid w:val="0043107A"/>
    <w:rsid w:val="004310B1"/>
    <w:rsid w:val="004310BB"/>
    <w:rsid w:val="00431238"/>
    <w:rsid w:val="00431657"/>
    <w:rsid w:val="004317EB"/>
    <w:rsid w:val="00431CA2"/>
    <w:rsid w:val="00431CC5"/>
    <w:rsid w:val="00431DD8"/>
    <w:rsid w:val="00431E06"/>
    <w:rsid w:val="00431EBE"/>
    <w:rsid w:val="00432012"/>
    <w:rsid w:val="004323E4"/>
    <w:rsid w:val="004323EA"/>
    <w:rsid w:val="004325BE"/>
    <w:rsid w:val="004326AB"/>
    <w:rsid w:val="0043283C"/>
    <w:rsid w:val="0043289F"/>
    <w:rsid w:val="00432ABE"/>
    <w:rsid w:val="00432C70"/>
    <w:rsid w:val="00432C84"/>
    <w:rsid w:val="00432CD6"/>
    <w:rsid w:val="00432EE5"/>
    <w:rsid w:val="00432EF2"/>
    <w:rsid w:val="00432F05"/>
    <w:rsid w:val="00432F7C"/>
    <w:rsid w:val="00432FE3"/>
    <w:rsid w:val="004330A7"/>
    <w:rsid w:val="004333AB"/>
    <w:rsid w:val="00433461"/>
    <w:rsid w:val="004335A8"/>
    <w:rsid w:val="0043365C"/>
    <w:rsid w:val="0043373F"/>
    <w:rsid w:val="0043378D"/>
    <w:rsid w:val="00433804"/>
    <w:rsid w:val="00433B8A"/>
    <w:rsid w:val="0043427D"/>
    <w:rsid w:val="004343CB"/>
    <w:rsid w:val="004345AF"/>
    <w:rsid w:val="0043463E"/>
    <w:rsid w:val="00434A27"/>
    <w:rsid w:val="00434ABA"/>
    <w:rsid w:val="00434B71"/>
    <w:rsid w:val="00434D70"/>
    <w:rsid w:val="00434D7C"/>
    <w:rsid w:val="004352BD"/>
    <w:rsid w:val="004353CB"/>
    <w:rsid w:val="0043565B"/>
    <w:rsid w:val="0043580D"/>
    <w:rsid w:val="00435919"/>
    <w:rsid w:val="00435992"/>
    <w:rsid w:val="00435D70"/>
    <w:rsid w:val="00435EFE"/>
    <w:rsid w:val="00436159"/>
    <w:rsid w:val="004361C8"/>
    <w:rsid w:val="004363CC"/>
    <w:rsid w:val="00436423"/>
    <w:rsid w:val="00436960"/>
    <w:rsid w:val="00436CCF"/>
    <w:rsid w:val="00436DFF"/>
    <w:rsid w:val="00436EFB"/>
    <w:rsid w:val="00436FFC"/>
    <w:rsid w:val="004371F3"/>
    <w:rsid w:val="00437211"/>
    <w:rsid w:val="004374A4"/>
    <w:rsid w:val="004374DC"/>
    <w:rsid w:val="0043750D"/>
    <w:rsid w:val="00437680"/>
    <w:rsid w:val="00437826"/>
    <w:rsid w:val="004378ED"/>
    <w:rsid w:val="00437AEB"/>
    <w:rsid w:val="00437B15"/>
    <w:rsid w:val="00437CD5"/>
    <w:rsid w:val="0044039F"/>
    <w:rsid w:val="0044048A"/>
    <w:rsid w:val="0044065C"/>
    <w:rsid w:val="0044068F"/>
    <w:rsid w:val="004408B5"/>
    <w:rsid w:val="00440A24"/>
    <w:rsid w:val="00440A56"/>
    <w:rsid w:val="00440B33"/>
    <w:rsid w:val="00440B4D"/>
    <w:rsid w:val="00440C98"/>
    <w:rsid w:val="00440C9F"/>
    <w:rsid w:val="00440D5D"/>
    <w:rsid w:val="00440DFF"/>
    <w:rsid w:val="00440E44"/>
    <w:rsid w:val="00440FA3"/>
    <w:rsid w:val="00440FCB"/>
    <w:rsid w:val="00441141"/>
    <w:rsid w:val="00441277"/>
    <w:rsid w:val="004412B4"/>
    <w:rsid w:val="004412D7"/>
    <w:rsid w:val="00441373"/>
    <w:rsid w:val="004414A9"/>
    <w:rsid w:val="004418E9"/>
    <w:rsid w:val="00441A0D"/>
    <w:rsid w:val="00441A2F"/>
    <w:rsid w:val="00441A72"/>
    <w:rsid w:val="00441B06"/>
    <w:rsid w:val="00441D79"/>
    <w:rsid w:val="00441E07"/>
    <w:rsid w:val="00442021"/>
    <w:rsid w:val="00442456"/>
    <w:rsid w:val="00442532"/>
    <w:rsid w:val="00442892"/>
    <w:rsid w:val="00442C43"/>
    <w:rsid w:val="00442D40"/>
    <w:rsid w:val="00442D75"/>
    <w:rsid w:val="00442DA7"/>
    <w:rsid w:val="00442DE6"/>
    <w:rsid w:val="00442F7B"/>
    <w:rsid w:val="00442FAC"/>
    <w:rsid w:val="00443084"/>
    <w:rsid w:val="00443090"/>
    <w:rsid w:val="00443146"/>
    <w:rsid w:val="0044314E"/>
    <w:rsid w:val="00443242"/>
    <w:rsid w:val="00443281"/>
    <w:rsid w:val="00443452"/>
    <w:rsid w:val="00443471"/>
    <w:rsid w:val="00443580"/>
    <w:rsid w:val="004435C4"/>
    <w:rsid w:val="004437A8"/>
    <w:rsid w:val="004437E6"/>
    <w:rsid w:val="00443B43"/>
    <w:rsid w:val="00443B63"/>
    <w:rsid w:val="00443BAD"/>
    <w:rsid w:val="00443C30"/>
    <w:rsid w:val="00443ECC"/>
    <w:rsid w:val="004441CE"/>
    <w:rsid w:val="004441D9"/>
    <w:rsid w:val="0044467B"/>
    <w:rsid w:val="00444720"/>
    <w:rsid w:val="00444805"/>
    <w:rsid w:val="00444815"/>
    <w:rsid w:val="004448FD"/>
    <w:rsid w:val="00444AC9"/>
    <w:rsid w:val="00444AEB"/>
    <w:rsid w:val="00444CD0"/>
    <w:rsid w:val="00444F7E"/>
    <w:rsid w:val="00445014"/>
    <w:rsid w:val="004451C0"/>
    <w:rsid w:val="0044522A"/>
    <w:rsid w:val="0044525F"/>
    <w:rsid w:val="00445382"/>
    <w:rsid w:val="004455E6"/>
    <w:rsid w:val="00445989"/>
    <w:rsid w:val="00445ADB"/>
    <w:rsid w:val="00445BFD"/>
    <w:rsid w:val="00445D3B"/>
    <w:rsid w:val="0044625E"/>
    <w:rsid w:val="004464BF"/>
    <w:rsid w:val="004466E4"/>
    <w:rsid w:val="0044691E"/>
    <w:rsid w:val="00446CE7"/>
    <w:rsid w:val="00446E91"/>
    <w:rsid w:val="00446EC5"/>
    <w:rsid w:val="00446F71"/>
    <w:rsid w:val="0044719F"/>
    <w:rsid w:val="00447231"/>
    <w:rsid w:val="004473F5"/>
    <w:rsid w:val="0044770B"/>
    <w:rsid w:val="00447763"/>
    <w:rsid w:val="004479CB"/>
    <w:rsid w:val="00447B44"/>
    <w:rsid w:val="00447CB3"/>
    <w:rsid w:val="00447DFC"/>
    <w:rsid w:val="00447FFD"/>
    <w:rsid w:val="00450159"/>
    <w:rsid w:val="0045049A"/>
    <w:rsid w:val="00450559"/>
    <w:rsid w:val="0045077C"/>
    <w:rsid w:val="004507E3"/>
    <w:rsid w:val="0045088A"/>
    <w:rsid w:val="0045088C"/>
    <w:rsid w:val="00450A83"/>
    <w:rsid w:val="00450AB9"/>
    <w:rsid w:val="00450C4C"/>
    <w:rsid w:val="00450CB3"/>
    <w:rsid w:val="00450CEF"/>
    <w:rsid w:val="00450D10"/>
    <w:rsid w:val="00450DB3"/>
    <w:rsid w:val="00450F37"/>
    <w:rsid w:val="00450FD2"/>
    <w:rsid w:val="0045122E"/>
    <w:rsid w:val="004512ED"/>
    <w:rsid w:val="00451324"/>
    <w:rsid w:val="00451354"/>
    <w:rsid w:val="00451382"/>
    <w:rsid w:val="00451A5A"/>
    <w:rsid w:val="00451C94"/>
    <w:rsid w:val="00451FE8"/>
    <w:rsid w:val="0045225A"/>
    <w:rsid w:val="00452271"/>
    <w:rsid w:val="00452323"/>
    <w:rsid w:val="004523BB"/>
    <w:rsid w:val="0045255E"/>
    <w:rsid w:val="0045262F"/>
    <w:rsid w:val="004526A0"/>
    <w:rsid w:val="00452987"/>
    <w:rsid w:val="00452C83"/>
    <w:rsid w:val="00452CF5"/>
    <w:rsid w:val="00452E6D"/>
    <w:rsid w:val="00453109"/>
    <w:rsid w:val="004532D7"/>
    <w:rsid w:val="0045364D"/>
    <w:rsid w:val="004538AE"/>
    <w:rsid w:val="0045399E"/>
    <w:rsid w:val="00453DB4"/>
    <w:rsid w:val="00453F3A"/>
    <w:rsid w:val="00453F62"/>
    <w:rsid w:val="00453FE5"/>
    <w:rsid w:val="00454149"/>
    <w:rsid w:val="0045415F"/>
    <w:rsid w:val="00454C30"/>
    <w:rsid w:val="00454CE7"/>
    <w:rsid w:val="00454D86"/>
    <w:rsid w:val="00455009"/>
    <w:rsid w:val="0045515D"/>
    <w:rsid w:val="00455243"/>
    <w:rsid w:val="00455337"/>
    <w:rsid w:val="0045586B"/>
    <w:rsid w:val="00455A14"/>
    <w:rsid w:val="00455D75"/>
    <w:rsid w:val="00455E86"/>
    <w:rsid w:val="00455F04"/>
    <w:rsid w:val="00455F5F"/>
    <w:rsid w:val="00455F6A"/>
    <w:rsid w:val="00456101"/>
    <w:rsid w:val="00456342"/>
    <w:rsid w:val="00456364"/>
    <w:rsid w:val="004563E3"/>
    <w:rsid w:val="004565DC"/>
    <w:rsid w:val="004566D1"/>
    <w:rsid w:val="00456948"/>
    <w:rsid w:val="004569D1"/>
    <w:rsid w:val="004569DA"/>
    <w:rsid w:val="00456A73"/>
    <w:rsid w:val="00456B9B"/>
    <w:rsid w:val="00456CFB"/>
    <w:rsid w:val="00456E33"/>
    <w:rsid w:val="0045712A"/>
    <w:rsid w:val="004574F7"/>
    <w:rsid w:val="00457580"/>
    <w:rsid w:val="004575E6"/>
    <w:rsid w:val="00457857"/>
    <w:rsid w:val="00457A26"/>
    <w:rsid w:val="00457BF2"/>
    <w:rsid w:val="00457F3F"/>
    <w:rsid w:val="004601BD"/>
    <w:rsid w:val="00460383"/>
    <w:rsid w:val="00460BB8"/>
    <w:rsid w:val="00460BEF"/>
    <w:rsid w:val="00460C27"/>
    <w:rsid w:val="00460D2C"/>
    <w:rsid w:val="00460EF5"/>
    <w:rsid w:val="00460F4E"/>
    <w:rsid w:val="00460FAB"/>
    <w:rsid w:val="00460FDB"/>
    <w:rsid w:val="0046108A"/>
    <w:rsid w:val="004610D5"/>
    <w:rsid w:val="004611C4"/>
    <w:rsid w:val="00461412"/>
    <w:rsid w:val="004614D7"/>
    <w:rsid w:val="00461880"/>
    <w:rsid w:val="004619F5"/>
    <w:rsid w:val="00461B44"/>
    <w:rsid w:val="00461C3C"/>
    <w:rsid w:val="00461D61"/>
    <w:rsid w:val="00461E64"/>
    <w:rsid w:val="00461F25"/>
    <w:rsid w:val="00462381"/>
    <w:rsid w:val="00462568"/>
    <w:rsid w:val="00462586"/>
    <w:rsid w:val="00462895"/>
    <w:rsid w:val="004628A7"/>
    <w:rsid w:val="00462971"/>
    <w:rsid w:val="00462AF6"/>
    <w:rsid w:val="00462B9C"/>
    <w:rsid w:val="00462BA3"/>
    <w:rsid w:val="00462E0A"/>
    <w:rsid w:val="00462E4E"/>
    <w:rsid w:val="00462E57"/>
    <w:rsid w:val="0046305F"/>
    <w:rsid w:val="004634D7"/>
    <w:rsid w:val="00463565"/>
    <w:rsid w:val="0046366E"/>
    <w:rsid w:val="0046371F"/>
    <w:rsid w:val="00463779"/>
    <w:rsid w:val="00463891"/>
    <w:rsid w:val="00463A94"/>
    <w:rsid w:val="00463D8B"/>
    <w:rsid w:val="00463E5A"/>
    <w:rsid w:val="0046403C"/>
    <w:rsid w:val="0046419E"/>
    <w:rsid w:val="004644CC"/>
    <w:rsid w:val="00464582"/>
    <w:rsid w:val="004646C5"/>
    <w:rsid w:val="004646C7"/>
    <w:rsid w:val="0046476B"/>
    <w:rsid w:val="00464843"/>
    <w:rsid w:val="00464961"/>
    <w:rsid w:val="00464B8D"/>
    <w:rsid w:val="00464E1D"/>
    <w:rsid w:val="00464E34"/>
    <w:rsid w:val="00465052"/>
    <w:rsid w:val="00465058"/>
    <w:rsid w:val="004652C7"/>
    <w:rsid w:val="0046545B"/>
    <w:rsid w:val="0046546A"/>
    <w:rsid w:val="00465489"/>
    <w:rsid w:val="0046550A"/>
    <w:rsid w:val="0046569A"/>
    <w:rsid w:val="004656E7"/>
    <w:rsid w:val="00465839"/>
    <w:rsid w:val="00465A30"/>
    <w:rsid w:val="00465A68"/>
    <w:rsid w:val="00465A75"/>
    <w:rsid w:val="00465EFF"/>
    <w:rsid w:val="004661BA"/>
    <w:rsid w:val="004662D9"/>
    <w:rsid w:val="0046680E"/>
    <w:rsid w:val="00466855"/>
    <w:rsid w:val="00466DF9"/>
    <w:rsid w:val="00466E96"/>
    <w:rsid w:val="00466F27"/>
    <w:rsid w:val="004670DA"/>
    <w:rsid w:val="00467202"/>
    <w:rsid w:val="004675A6"/>
    <w:rsid w:val="004675C1"/>
    <w:rsid w:val="0046789A"/>
    <w:rsid w:val="00467B18"/>
    <w:rsid w:val="00467C0E"/>
    <w:rsid w:val="00467D15"/>
    <w:rsid w:val="00467E4E"/>
    <w:rsid w:val="00467F0D"/>
    <w:rsid w:val="00467F29"/>
    <w:rsid w:val="00470002"/>
    <w:rsid w:val="0047018C"/>
    <w:rsid w:val="0047019F"/>
    <w:rsid w:val="0047020F"/>
    <w:rsid w:val="004708E1"/>
    <w:rsid w:val="00470924"/>
    <w:rsid w:val="0047097F"/>
    <w:rsid w:val="00470A02"/>
    <w:rsid w:val="00470BA1"/>
    <w:rsid w:val="00470D94"/>
    <w:rsid w:val="00470F04"/>
    <w:rsid w:val="0047102A"/>
    <w:rsid w:val="0047103C"/>
    <w:rsid w:val="004711AD"/>
    <w:rsid w:val="00471454"/>
    <w:rsid w:val="00471568"/>
    <w:rsid w:val="004715E9"/>
    <w:rsid w:val="00471954"/>
    <w:rsid w:val="00471ACA"/>
    <w:rsid w:val="00471C02"/>
    <w:rsid w:val="00471C14"/>
    <w:rsid w:val="00471D1C"/>
    <w:rsid w:val="00471DA8"/>
    <w:rsid w:val="00471E6F"/>
    <w:rsid w:val="004720BD"/>
    <w:rsid w:val="00472270"/>
    <w:rsid w:val="00472277"/>
    <w:rsid w:val="00472292"/>
    <w:rsid w:val="00472606"/>
    <w:rsid w:val="0047273F"/>
    <w:rsid w:val="00472776"/>
    <w:rsid w:val="00472ADC"/>
    <w:rsid w:val="00472D96"/>
    <w:rsid w:val="00472F10"/>
    <w:rsid w:val="00472F13"/>
    <w:rsid w:val="00472F7B"/>
    <w:rsid w:val="00472FCB"/>
    <w:rsid w:val="004732E0"/>
    <w:rsid w:val="00473364"/>
    <w:rsid w:val="004734CD"/>
    <w:rsid w:val="004734FD"/>
    <w:rsid w:val="00473813"/>
    <w:rsid w:val="0047395A"/>
    <w:rsid w:val="00473B30"/>
    <w:rsid w:val="00473BA2"/>
    <w:rsid w:val="00473BBD"/>
    <w:rsid w:val="00473C74"/>
    <w:rsid w:val="00473C87"/>
    <w:rsid w:val="00473CF1"/>
    <w:rsid w:val="00473EC1"/>
    <w:rsid w:val="00473FCE"/>
    <w:rsid w:val="00474304"/>
    <w:rsid w:val="00474574"/>
    <w:rsid w:val="004748E9"/>
    <w:rsid w:val="00474B9F"/>
    <w:rsid w:val="00474C58"/>
    <w:rsid w:val="00475130"/>
    <w:rsid w:val="00475306"/>
    <w:rsid w:val="00475373"/>
    <w:rsid w:val="00475418"/>
    <w:rsid w:val="00475630"/>
    <w:rsid w:val="004757B7"/>
    <w:rsid w:val="0047589C"/>
    <w:rsid w:val="004758B6"/>
    <w:rsid w:val="00475940"/>
    <w:rsid w:val="0047597D"/>
    <w:rsid w:val="00475C15"/>
    <w:rsid w:val="00475F95"/>
    <w:rsid w:val="0047608B"/>
    <w:rsid w:val="00476098"/>
    <w:rsid w:val="00476196"/>
    <w:rsid w:val="004761EF"/>
    <w:rsid w:val="004762FC"/>
    <w:rsid w:val="00476301"/>
    <w:rsid w:val="004764B7"/>
    <w:rsid w:val="004764F5"/>
    <w:rsid w:val="004765A3"/>
    <w:rsid w:val="004766D1"/>
    <w:rsid w:val="00476858"/>
    <w:rsid w:val="0047698A"/>
    <w:rsid w:val="00476A9E"/>
    <w:rsid w:val="00476ADB"/>
    <w:rsid w:val="00476BB9"/>
    <w:rsid w:val="00476D4D"/>
    <w:rsid w:val="00476F3F"/>
    <w:rsid w:val="00476FBA"/>
    <w:rsid w:val="0047715D"/>
    <w:rsid w:val="004771B0"/>
    <w:rsid w:val="004772BA"/>
    <w:rsid w:val="00477327"/>
    <w:rsid w:val="0047741C"/>
    <w:rsid w:val="00477427"/>
    <w:rsid w:val="004775C4"/>
    <w:rsid w:val="004776C9"/>
    <w:rsid w:val="004776E8"/>
    <w:rsid w:val="00477818"/>
    <w:rsid w:val="00477831"/>
    <w:rsid w:val="00477898"/>
    <w:rsid w:val="004778BE"/>
    <w:rsid w:val="00477AF0"/>
    <w:rsid w:val="00477D81"/>
    <w:rsid w:val="00477D8C"/>
    <w:rsid w:val="00477DB0"/>
    <w:rsid w:val="004800CE"/>
    <w:rsid w:val="004803B7"/>
    <w:rsid w:val="0048055D"/>
    <w:rsid w:val="0048059B"/>
    <w:rsid w:val="00480ABA"/>
    <w:rsid w:val="00480D64"/>
    <w:rsid w:val="00480F68"/>
    <w:rsid w:val="004811F3"/>
    <w:rsid w:val="00481218"/>
    <w:rsid w:val="00481378"/>
    <w:rsid w:val="004813F4"/>
    <w:rsid w:val="004815A2"/>
    <w:rsid w:val="004815B7"/>
    <w:rsid w:val="00481638"/>
    <w:rsid w:val="0048190B"/>
    <w:rsid w:val="00481A42"/>
    <w:rsid w:val="00481B1D"/>
    <w:rsid w:val="00481B63"/>
    <w:rsid w:val="00481C9D"/>
    <w:rsid w:val="00481E80"/>
    <w:rsid w:val="00481E9C"/>
    <w:rsid w:val="00482041"/>
    <w:rsid w:val="0048206C"/>
    <w:rsid w:val="00482181"/>
    <w:rsid w:val="004821AA"/>
    <w:rsid w:val="004821CA"/>
    <w:rsid w:val="00482454"/>
    <w:rsid w:val="004825C7"/>
    <w:rsid w:val="004827E0"/>
    <w:rsid w:val="004828E7"/>
    <w:rsid w:val="00482A58"/>
    <w:rsid w:val="00482B1C"/>
    <w:rsid w:val="00482C2D"/>
    <w:rsid w:val="00482C83"/>
    <w:rsid w:val="00482D00"/>
    <w:rsid w:val="0048323C"/>
    <w:rsid w:val="00483264"/>
    <w:rsid w:val="00483324"/>
    <w:rsid w:val="0048339B"/>
    <w:rsid w:val="0048347E"/>
    <w:rsid w:val="004836FE"/>
    <w:rsid w:val="00483822"/>
    <w:rsid w:val="00483A69"/>
    <w:rsid w:val="00483D71"/>
    <w:rsid w:val="00483E1D"/>
    <w:rsid w:val="00483F39"/>
    <w:rsid w:val="004840CE"/>
    <w:rsid w:val="004841DE"/>
    <w:rsid w:val="00484357"/>
    <w:rsid w:val="0048439E"/>
    <w:rsid w:val="0048445F"/>
    <w:rsid w:val="00484491"/>
    <w:rsid w:val="004844FC"/>
    <w:rsid w:val="00484537"/>
    <w:rsid w:val="00484539"/>
    <w:rsid w:val="004847B0"/>
    <w:rsid w:val="00484832"/>
    <w:rsid w:val="00484877"/>
    <w:rsid w:val="00484A3D"/>
    <w:rsid w:val="00484AC6"/>
    <w:rsid w:val="00484B75"/>
    <w:rsid w:val="00484CAB"/>
    <w:rsid w:val="00484D34"/>
    <w:rsid w:val="00484F0E"/>
    <w:rsid w:val="00485112"/>
    <w:rsid w:val="0048511E"/>
    <w:rsid w:val="004852DC"/>
    <w:rsid w:val="00485334"/>
    <w:rsid w:val="00485703"/>
    <w:rsid w:val="004857BC"/>
    <w:rsid w:val="00485882"/>
    <w:rsid w:val="00485A38"/>
    <w:rsid w:val="00485ACA"/>
    <w:rsid w:val="00485C51"/>
    <w:rsid w:val="00485EE3"/>
    <w:rsid w:val="00485F32"/>
    <w:rsid w:val="00486058"/>
    <w:rsid w:val="0048614C"/>
    <w:rsid w:val="004861E3"/>
    <w:rsid w:val="0048630A"/>
    <w:rsid w:val="004863E9"/>
    <w:rsid w:val="0048662D"/>
    <w:rsid w:val="00486653"/>
    <w:rsid w:val="00486832"/>
    <w:rsid w:val="004868D6"/>
    <w:rsid w:val="00486932"/>
    <w:rsid w:val="00486B08"/>
    <w:rsid w:val="00486B93"/>
    <w:rsid w:val="00487092"/>
    <w:rsid w:val="00487122"/>
    <w:rsid w:val="004871A8"/>
    <w:rsid w:val="004872C5"/>
    <w:rsid w:val="00487413"/>
    <w:rsid w:val="00487478"/>
    <w:rsid w:val="0048759A"/>
    <w:rsid w:val="00487724"/>
    <w:rsid w:val="00487726"/>
    <w:rsid w:val="00487A6F"/>
    <w:rsid w:val="00487CC4"/>
    <w:rsid w:val="00487EA0"/>
    <w:rsid w:val="00487EB6"/>
    <w:rsid w:val="0049007B"/>
    <w:rsid w:val="004904EC"/>
    <w:rsid w:val="00490530"/>
    <w:rsid w:val="00490624"/>
    <w:rsid w:val="004909E7"/>
    <w:rsid w:val="00490C58"/>
    <w:rsid w:val="00490C64"/>
    <w:rsid w:val="00490F56"/>
    <w:rsid w:val="0049115D"/>
    <w:rsid w:val="00491195"/>
    <w:rsid w:val="0049122F"/>
    <w:rsid w:val="0049127E"/>
    <w:rsid w:val="004914F2"/>
    <w:rsid w:val="00491630"/>
    <w:rsid w:val="00491670"/>
    <w:rsid w:val="004916F5"/>
    <w:rsid w:val="00491828"/>
    <w:rsid w:val="00491B43"/>
    <w:rsid w:val="00491CB0"/>
    <w:rsid w:val="00491F19"/>
    <w:rsid w:val="00492011"/>
    <w:rsid w:val="0049218B"/>
    <w:rsid w:val="00492241"/>
    <w:rsid w:val="00492245"/>
    <w:rsid w:val="0049225D"/>
    <w:rsid w:val="004923C4"/>
    <w:rsid w:val="004924C6"/>
    <w:rsid w:val="00492799"/>
    <w:rsid w:val="00492828"/>
    <w:rsid w:val="0049287E"/>
    <w:rsid w:val="00492954"/>
    <w:rsid w:val="004929D8"/>
    <w:rsid w:val="00492B3D"/>
    <w:rsid w:val="00492C19"/>
    <w:rsid w:val="00492C69"/>
    <w:rsid w:val="00492D0D"/>
    <w:rsid w:val="00492DD1"/>
    <w:rsid w:val="00492EAB"/>
    <w:rsid w:val="00492F98"/>
    <w:rsid w:val="004930C7"/>
    <w:rsid w:val="0049311E"/>
    <w:rsid w:val="00493133"/>
    <w:rsid w:val="00493187"/>
    <w:rsid w:val="0049369F"/>
    <w:rsid w:val="00493ABC"/>
    <w:rsid w:val="00493ACE"/>
    <w:rsid w:val="00493D1B"/>
    <w:rsid w:val="00493ED8"/>
    <w:rsid w:val="00493FA1"/>
    <w:rsid w:val="00493FCC"/>
    <w:rsid w:val="0049406D"/>
    <w:rsid w:val="00494217"/>
    <w:rsid w:val="00494478"/>
    <w:rsid w:val="004944A6"/>
    <w:rsid w:val="004947B1"/>
    <w:rsid w:val="00494922"/>
    <w:rsid w:val="00494BE0"/>
    <w:rsid w:val="00494CCB"/>
    <w:rsid w:val="004951EE"/>
    <w:rsid w:val="00495300"/>
    <w:rsid w:val="00495418"/>
    <w:rsid w:val="00495594"/>
    <w:rsid w:val="004957AF"/>
    <w:rsid w:val="004959BA"/>
    <w:rsid w:val="00495A2D"/>
    <w:rsid w:val="00495AB4"/>
    <w:rsid w:val="00495AD3"/>
    <w:rsid w:val="00495AE3"/>
    <w:rsid w:val="00495C5B"/>
    <w:rsid w:val="00495D3F"/>
    <w:rsid w:val="00495EE6"/>
    <w:rsid w:val="0049613D"/>
    <w:rsid w:val="0049617B"/>
    <w:rsid w:val="004961C1"/>
    <w:rsid w:val="004961DC"/>
    <w:rsid w:val="00496290"/>
    <w:rsid w:val="004963F1"/>
    <w:rsid w:val="0049652B"/>
    <w:rsid w:val="00496549"/>
    <w:rsid w:val="0049655F"/>
    <w:rsid w:val="00496C61"/>
    <w:rsid w:val="00496CC3"/>
    <w:rsid w:val="00497033"/>
    <w:rsid w:val="00497087"/>
    <w:rsid w:val="00497097"/>
    <w:rsid w:val="004971D7"/>
    <w:rsid w:val="00497382"/>
    <w:rsid w:val="004973EE"/>
    <w:rsid w:val="004974BB"/>
    <w:rsid w:val="00497556"/>
    <w:rsid w:val="00497764"/>
    <w:rsid w:val="00497961"/>
    <w:rsid w:val="00497979"/>
    <w:rsid w:val="00497ABB"/>
    <w:rsid w:val="00497DF5"/>
    <w:rsid w:val="00497E4D"/>
    <w:rsid w:val="00497EF4"/>
    <w:rsid w:val="00497F4B"/>
    <w:rsid w:val="00497F78"/>
    <w:rsid w:val="004A004D"/>
    <w:rsid w:val="004A0164"/>
    <w:rsid w:val="004A0348"/>
    <w:rsid w:val="004A061A"/>
    <w:rsid w:val="004A0722"/>
    <w:rsid w:val="004A0725"/>
    <w:rsid w:val="004A0927"/>
    <w:rsid w:val="004A0C5C"/>
    <w:rsid w:val="004A0F8E"/>
    <w:rsid w:val="004A0F92"/>
    <w:rsid w:val="004A110D"/>
    <w:rsid w:val="004A119D"/>
    <w:rsid w:val="004A11C8"/>
    <w:rsid w:val="004A12A4"/>
    <w:rsid w:val="004A1486"/>
    <w:rsid w:val="004A14CC"/>
    <w:rsid w:val="004A153B"/>
    <w:rsid w:val="004A16D0"/>
    <w:rsid w:val="004A1867"/>
    <w:rsid w:val="004A1C24"/>
    <w:rsid w:val="004A222A"/>
    <w:rsid w:val="004A2253"/>
    <w:rsid w:val="004A22A8"/>
    <w:rsid w:val="004A239B"/>
    <w:rsid w:val="004A251B"/>
    <w:rsid w:val="004A276D"/>
    <w:rsid w:val="004A2790"/>
    <w:rsid w:val="004A288E"/>
    <w:rsid w:val="004A2CE0"/>
    <w:rsid w:val="004A2E32"/>
    <w:rsid w:val="004A2EF0"/>
    <w:rsid w:val="004A311C"/>
    <w:rsid w:val="004A3210"/>
    <w:rsid w:val="004A3287"/>
    <w:rsid w:val="004A328D"/>
    <w:rsid w:val="004A3552"/>
    <w:rsid w:val="004A37A5"/>
    <w:rsid w:val="004A38E4"/>
    <w:rsid w:val="004A3A57"/>
    <w:rsid w:val="004A3C7E"/>
    <w:rsid w:val="004A40EC"/>
    <w:rsid w:val="004A425F"/>
    <w:rsid w:val="004A445D"/>
    <w:rsid w:val="004A45CC"/>
    <w:rsid w:val="004A4731"/>
    <w:rsid w:val="004A473A"/>
    <w:rsid w:val="004A48AD"/>
    <w:rsid w:val="004A492E"/>
    <w:rsid w:val="004A4DD4"/>
    <w:rsid w:val="004A4F25"/>
    <w:rsid w:val="004A4F38"/>
    <w:rsid w:val="004A4FDA"/>
    <w:rsid w:val="004A5202"/>
    <w:rsid w:val="004A5485"/>
    <w:rsid w:val="004A561D"/>
    <w:rsid w:val="004A56A5"/>
    <w:rsid w:val="004A56F9"/>
    <w:rsid w:val="004A57C9"/>
    <w:rsid w:val="004A5DB7"/>
    <w:rsid w:val="004A5E48"/>
    <w:rsid w:val="004A5EF8"/>
    <w:rsid w:val="004A6124"/>
    <w:rsid w:val="004A624E"/>
    <w:rsid w:val="004A633E"/>
    <w:rsid w:val="004A6372"/>
    <w:rsid w:val="004A65E0"/>
    <w:rsid w:val="004A67EA"/>
    <w:rsid w:val="004A67F8"/>
    <w:rsid w:val="004A6E2E"/>
    <w:rsid w:val="004A6E88"/>
    <w:rsid w:val="004A6EC7"/>
    <w:rsid w:val="004A7393"/>
    <w:rsid w:val="004A73E7"/>
    <w:rsid w:val="004A7681"/>
    <w:rsid w:val="004A780A"/>
    <w:rsid w:val="004A7C5D"/>
    <w:rsid w:val="004A7C9E"/>
    <w:rsid w:val="004A7CED"/>
    <w:rsid w:val="004A7D85"/>
    <w:rsid w:val="004A7DC2"/>
    <w:rsid w:val="004A7F59"/>
    <w:rsid w:val="004B0063"/>
    <w:rsid w:val="004B015A"/>
    <w:rsid w:val="004B01B3"/>
    <w:rsid w:val="004B0416"/>
    <w:rsid w:val="004B044B"/>
    <w:rsid w:val="004B06EB"/>
    <w:rsid w:val="004B093E"/>
    <w:rsid w:val="004B0A4A"/>
    <w:rsid w:val="004B0A50"/>
    <w:rsid w:val="004B0ABC"/>
    <w:rsid w:val="004B0B16"/>
    <w:rsid w:val="004B0B73"/>
    <w:rsid w:val="004B0C97"/>
    <w:rsid w:val="004B0ED5"/>
    <w:rsid w:val="004B0F52"/>
    <w:rsid w:val="004B1366"/>
    <w:rsid w:val="004B13AD"/>
    <w:rsid w:val="004B1560"/>
    <w:rsid w:val="004B15E5"/>
    <w:rsid w:val="004B17EA"/>
    <w:rsid w:val="004B1C8B"/>
    <w:rsid w:val="004B1CB8"/>
    <w:rsid w:val="004B1CCB"/>
    <w:rsid w:val="004B1F21"/>
    <w:rsid w:val="004B2084"/>
    <w:rsid w:val="004B2673"/>
    <w:rsid w:val="004B273D"/>
    <w:rsid w:val="004B278A"/>
    <w:rsid w:val="004B2A08"/>
    <w:rsid w:val="004B2BC3"/>
    <w:rsid w:val="004B2E03"/>
    <w:rsid w:val="004B2ECA"/>
    <w:rsid w:val="004B3007"/>
    <w:rsid w:val="004B3081"/>
    <w:rsid w:val="004B3166"/>
    <w:rsid w:val="004B3433"/>
    <w:rsid w:val="004B369C"/>
    <w:rsid w:val="004B3705"/>
    <w:rsid w:val="004B3758"/>
    <w:rsid w:val="004B381E"/>
    <w:rsid w:val="004B396E"/>
    <w:rsid w:val="004B3CE5"/>
    <w:rsid w:val="004B4026"/>
    <w:rsid w:val="004B414A"/>
    <w:rsid w:val="004B41DE"/>
    <w:rsid w:val="004B464C"/>
    <w:rsid w:val="004B47D4"/>
    <w:rsid w:val="004B493A"/>
    <w:rsid w:val="004B4989"/>
    <w:rsid w:val="004B4F6D"/>
    <w:rsid w:val="004B4FDC"/>
    <w:rsid w:val="004B4FEB"/>
    <w:rsid w:val="004B50CC"/>
    <w:rsid w:val="004B520B"/>
    <w:rsid w:val="004B5279"/>
    <w:rsid w:val="004B529A"/>
    <w:rsid w:val="004B53A5"/>
    <w:rsid w:val="004B5512"/>
    <w:rsid w:val="004B58F4"/>
    <w:rsid w:val="004B5A4E"/>
    <w:rsid w:val="004B5CA7"/>
    <w:rsid w:val="004B5CE2"/>
    <w:rsid w:val="004B610C"/>
    <w:rsid w:val="004B6278"/>
    <w:rsid w:val="004B637D"/>
    <w:rsid w:val="004B64A4"/>
    <w:rsid w:val="004B6644"/>
    <w:rsid w:val="004B67FD"/>
    <w:rsid w:val="004B6959"/>
    <w:rsid w:val="004B6A81"/>
    <w:rsid w:val="004B6C6B"/>
    <w:rsid w:val="004B6F66"/>
    <w:rsid w:val="004B71A8"/>
    <w:rsid w:val="004B723F"/>
    <w:rsid w:val="004B766E"/>
    <w:rsid w:val="004B76CE"/>
    <w:rsid w:val="004B780A"/>
    <w:rsid w:val="004B78D5"/>
    <w:rsid w:val="004B7902"/>
    <w:rsid w:val="004B7AAB"/>
    <w:rsid w:val="004B7B7A"/>
    <w:rsid w:val="004B7C5E"/>
    <w:rsid w:val="004B7D4B"/>
    <w:rsid w:val="004B7DF2"/>
    <w:rsid w:val="004C014C"/>
    <w:rsid w:val="004C01A1"/>
    <w:rsid w:val="004C01C3"/>
    <w:rsid w:val="004C0274"/>
    <w:rsid w:val="004C02B9"/>
    <w:rsid w:val="004C02E4"/>
    <w:rsid w:val="004C051D"/>
    <w:rsid w:val="004C062D"/>
    <w:rsid w:val="004C07E4"/>
    <w:rsid w:val="004C0A07"/>
    <w:rsid w:val="004C0A5B"/>
    <w:rsid w:val="004C0BC0"/>
    <w:rsid w:val="004C0C68"/>
    <w:rsid w:val="004C134F"/>
    <w:rsid w:val="004C1382"/>
    <w:rsid w:val="004C160D"/>
    <w:rsid w:val="004C1680"/>
    <w:rsid w:val="004C17AB"/>
    <w:rsid w:val="004C1A52"/>
    <w:rsid w:val="004C1BC0"/>
    <w:rsid w:val="004C1CEB"/>
    <w:rsid w:val="004C1D63"/>
    <w:rsid w:val="004C1DA9"/>
    <w:rsid w:val="004C1E09"/>
    <w:rsid w:val="004C20A3"/>
    <w:rsid w:val="004C20C0"/>
    <w:rsid w:val="004C212E"/>
    <w:rsid w:val="004C214E"/>
    <w:rsid w:val="004C2197"/>
    <w:rsid w:val="004C22C8"/>
    <w:rsid w:val="004C2487"/>
    <w:rsid w:val="004C25CA"/>
    <w:rsid w:val="004C26B3"/>
    <w:rsid w:val="004C26CE"/>
    <w:rsid w:val="004C2899"/>
    <w:rsid w:val="004C2C00"/>
    <w:rsid w:val="004C2DE0"/>
    <w:rsid w:val="004C31A6"/>
    <w:rsid w:val="004C32F8"/>
    <w:rsid w:val="004C3537"/>
    <w:rsid w:val="004C3728"/>
    <w:rsid w:val="004C3950"/>
    <w:rsid w:val="004C3985"/>
    <w:rsid w:val="004C3992"/>
    <w:rsid w:val="004C3AA5"/>
    <w:rsid w:val="004C3C7D"/>
    <w:rsid w:val="004C3D23"/>
    <w:rsid w:val="004C4066"/>
    <w:rsid w:val="004C4459"/>
    <w:rsid w:val="004C44D0"/>
    <w:rsid w:val="004C469C"/>
    <w:rsid w:val="004C47E8"/>
    <w:rsid w:val="004C4913"/>
    <w:rsid w:val="004C49CD"/>
    <w:rsid w:val="004C4B3A"/>
    <w:rsid w:val="004C4BD5"/>
    <w:rsid w:val="004C4D64"/>
    <w:rsid w:val="004C4F74"/>
    <w:rsid w:val="004C5682"/>
    <w:rsid w:val="004C59D7"/>
    <w:rsid w:val="004C5BC0"/>
    <w:rsid w:val="004C60AF"/>
    <w:rsid w:val="004C6132"/>
    <w:rsid w:val="004C6208"/>
    <w:rsid w:val="004C623C"/>
    <w:rsid w:val="004C6481"/>
    <w:rsid w:val="004C65F0"/>
    <w:rsid w:val="004C6AF2"/>
    <w:rsid w:val="004C6B0F"/>
    <w:rsid w:val="004C6C10"/>
    <w:rsid w:val="004C6C4D"/>
    <w:rsid w:val="004C6E2F"/>
    <w:rsid w:val="004C6F94"/>
    <w:rsid w:val="004C70C9"/>
    <w:rsid w:val="004C70CE"/>
    <w:rsid w:val="004C712B"/>
    <w:rsid w:val="004C7372"/>
    <w:rsid w:val="004C7426"/>
    <w:rsid w:val="004C75B2"/>
    <w:rsid w:val="004C7671"/>
    <w:rsid w:val="004C76BD"/>
    <w:rsid w:val="004C7868"/>
    <w:rsid w:val="004C787B"/>
    <w:rsid w:val="004C7AF0"/>
    <w:rsid w:val="004C7D69"/>
    <w:rsid w:val="004C7D71"/>
    <w:rsid w:val="004C7EED"/>
    <w:rsid w:val="004C7F83"/>
    <w:rsid w:val="004D0150"/>
    <w:rsid w:val="004D079D"/>
    <w:rsid w:val="004D07DB"/>
    <w:rsid w:val="004D0965"/>
    <w:rsid w:val="004D0A2B"/>
    <w:rsid w:val="004D0C08"/>
    <w:rsid w:val="004D0C61"/>
    <w:rsid w:val="004D0C8B"/>
    <w:rsid w:val="004D0CC0"/>
    <w:rsid w:val="004D0CEA"/>
    <w:rsid w:val="004D0DA6"/>
    <w:rsid w:val="004D0E36"/>
    <w:rsid w:val="004D0EB8"/>
    <w:rsid w:val="004D0FA1"/>
    <w:rsid w:val="004D0FA5"/>
    <w:rsid w:val="004D12BD"/>
    <w:rsid w:val="004D13EE"/>
    <w:rsid w:val="004D15B9"/>
    <w:rsid w:val="004D15C9"/>
    <w:rsid w:val="004D18F2"/>
    <w:rsid w:val="004D1A65"/>
    <w:rsid w:val="004D1B50"/>
    <w:rsid w:val="004D1F26"/>
    <w:rsid w:val="004D210D"/>
    <w:rsid w:val="004D21A4"/>
    <w:rsid w:val="004D25FF"/>
    <w:rsid w:val="004D2874"/>
    <w:rsid w:val="004D28A3"/>
    <w:rsid w:val="004D2B12"/>
    <w:rsid w:val="004D2C48"/>
    <w:rsid w:val="004D2C7C"/>
    <w:rsid w:val="004D2E64"/>
    <w:rsid w:val="004D2FED"/>
    <w:rsid w:val="004D30B5"/>
    <w:rsid w:val="004D31C6"/>
    <w:rsid w:val="004D3476"/>
    <w:rsid w:val="004D3A33"/>
    <w:rsid w:val="004D3A66"/>
    <w:rsid w:val="004D3B3F"/>
    <w:rsid w:val="004D3C52"/>
    <w:rsid w:val="004D3EA2"/>
    <w:rsid w:val="004D3FFA"/>
    <w:rsid w:val="004D419A"/>
    <w:rsid w:val="004D43A0"/>
    <w:rsid w:val="004D45AF"/>
    <w:rsid w:val="004D49CE"/>
    <w:rsid w:val="004D4B0E"/>
    <w:rsid w:val="004D4C37"/>
    <w:rsid w:val="004D4E0D"/>
    <w:rsid w:val="004D5047"/>
    <w:rsid w:val="004D51A3"/>
    <w:rsid w:val="004D537D"/>
    <w:rsid w:val="004D53BC"/>
    <w:rsid w:val="004D5714"/>
    <w:rsid w:val="004D57C1"/>
    <w:rsid w:val="004D598E"/>
    <w:rsid w:val="004D5B0E"/>
    <w:rsid w:val="004D5C4F"/>
    <w:rsid w:val="004D5E4C"/>
    <w:rsid w:val="004D5EC1"/>
    <w:rsid w:val="004D600D"/>
    <w:rsid w:val="004D617F"/>
    <w:rsid w:val="004D61E6"/>
    <w:rsid w:val="004D6484"/>
    <w:rsid w:val="004D6759"/>
    <w:rsid w:val="004D6776"/>
    <w:rsid w:val="004D6A63"/>
    <w:rsid w:val="004D6CF7"/>
    <w:rsid w:val="004D6D59"/>
    <w:rsid w:val="004D6EBF"/>
    <w:rsid w:val="004D729D"/>
    <w:rsid w:val="004D73A4"/>
    <w:rsid w:val="004D7423"/>
    <w:rsid w:val="004D7A8D"/>
    <w:rsid w:val="004D7E1D"/>
    <w:rsid w:val="004D7F1A"/>
    <w:rsid w:val="004E002C"/>
    <w:rsid w:val="004E0290"/>
    <w:rsid w:val="004E030E"/>
    <w:rsid w:val="004E072A"/>
    <w:rsid w:val="004E093E"/>
    <w:rsid w:val="004E0BC8"/>
    <w:rsid w:val="004E0D67"/>
    <w:rsid w:val="004E0DDA"/>
    <w:rsid w:val="004E10F7"/>
    <w:rsid w:val="004E1397"/>
    <w:rsid w:val="004E14EE"/>
    <w:rsid w:val="004E1520"/>
    <w:rsid w:val="004E1682"/>
    <w:rsid w:val="004E1A52"/>
    <w:rsid w:val="004E1A87"/>
    <w:rsid w:val="004E1B10"/>
    <w:rsid w:val="004E1B68"/>
    <w:rsid w:val="004E1C1F"/>
    <w:rsid w:val="004E1C51"/>
    <w:rsid w:val="004E1D59"/>
    <w:rsid w:val="004E1E94"/>
    <w:rsid w:val="004E1FE7"/>
    <w:rsid w:val="004E1FF6"/>
    <w:rsid w:val="004E2023"/>
    <w:rsid w:val="004E20CB"/>
    <w:rsid w:val="004E2237"/>
    <w:rsid w:val="004E22B6"/>
    <w:rsid w:val="004E2414"/>
    <w:rsid w:val="004E243D"/>
    <w:rsid w:val="004E248A"/>
    <w:rsid w:val="004E2514"/>
    <w:rsid w:val="004E25D9"/>
    <w:rsid w:val="004E28E9"/>
    <w:rsid w:val="004E29EB"/>
    <w:rsid w:val="004E2B86"/>
    <w:rsid w:val="004E2C78"/>
    <w:rsid w:val="004E2C9E"/>
    <w:rsid w:val="004E2CC2"/>
    <w:rsid w:val="004E2D2A"/>
    <w:rsid w:val="004E30A3"/>
    <w:rsid w:val="004E31F2"/>
    <w:rsid w:val="004E34FF"/>
    <w:rsid w:val="004E35E1"/>
    <w:rsid w:val="004E3679"/>
    <w:rsid w:val="004E3A8B"/>
    <w:rsid w:val="004E3B66"/>
    <w:rsid w:val="004E3DCB"/>
    <w:rsid w:val="004E3EFE"/>
    <w:rsid w:val="004E3F98"/>
    <w:rsid w:val="004E3FAF"/>
    <w:rsid w:val="004E41BD"/>
    <w:rsid w:val="004E4384"/>
    <w:rsid w:val="004E4716"/>
    <w:rsid w:val="004E4739"/>
    <w:rsid w:val="004E4882"/>
    <w:rsid w:val="004E4ECA"/>
    <w:rsid w:val="004E558F"/>
    <w:rsid w:val="004E5809"/>
    <w:rsid w:val="004E5903"/>
    <w:rsid w:val="004E5B91"/>
    <w:rsid w:val="004E5C8C"/>
    <w:rsid w:val="004E5D10"/>
    <w:rsid w:val="004E5E01"/>
    <w:rsid w:val="004E5FC7"/>
    <w:rsid w:val="004E5FDD"/>
    <w:rsid w:val="004E5FF0"/>
    <w:rsid w:val="004E635C"/>
    <w:rsid w:val="004E6539"/>
    <w:rsid w:val="004E69B2"/>
    <w:rsid w:val="004E6B3B"/>
    <w:rsid w:val="004E6BBF"/>
    <w:rsid w:val="004E6DB3"/>
    <w:rsid w:val="004E6DE9"/>
    <w:rsid w:val="004E6EA2"/>
    <w:rsid w:val="004E7592"/>
    <w:rsid w:val="004E7782"/>
    <w:rsid w:val="004E7B11"/>
    <w:rsid w:val="004E7F08"/>
    <w:rsid w:val="004E7F74"/>
    <w:rsid w:val="004F0050"/>
    <w:rsid w:val="004F03F3"/>
    <w:rsid w:val="004F03FE"/>
    <w:rsid w:val="004F06F2"/>
    <w:rsid w:val="004F0C1D"/>
    <w:rsid w:val="004F0EB9"/>
    <w:rsid w:val="004F124E"/>
    <w:rsid w:val="004F1532"/>
    <w:rsid w:val="004F16A4"/>
    <w:rsid w:val="004F1878"/>
    <w:rsid w:val="004F19EC"/>
    <w:rsid w:val="004F1BE6"/>
    <w:rsid w:val="004F1CF4"/>
    <w:rsid w:val="004F1D0F"/>
    <w:rsid w:val="004F1D1F"/>
    <w:rsid w:val="004F1D67"/>
    <w:rsid w:val="004F1D7F"/>
    <w:rsid w:val="004F1DD5"/>
    <w:rsid w:val="004F1E67"/>
    <w:rsid w:val="004F1EC8"/>
    <w:rsid w:val="004F208F"/>
    <w:rsid w:val="004F21BC"/>
    <w:rsid w:val="004F223B"/>
    <w:rsid w:val="004F228C"/>
    <w:rsid w:val="004F2301"/>
    <w:rsid w:val="004F233B"/>
    <w:rsid w:val="004F23F5"/>
    <w:rsid w:val="004F23FB"/>
    <w:rsid w:val="004F242E"/>
    <w:rsid w:val="004F2AC4"/>
    <w:rsid w:val="004F2BCC"/>
    <w:rsid w:val="004F2D0D"/>
    <w:rsid w:val="004F2D20"/>
    <w:rsid w:val="004F3083"/>
    <w:rsid w:val="004F3084"/>
    <w:rsid w:val="004F3100"/>
    <w:rsid w:val="004F33EF"/>
    <w:rsid w:val="004F35E4"/>
    <w:rsid w:val="004F39D2"/>
    <w:rsid w:val="004F3A51"/>
    <w:rsid w:val="004F3B73"/>
    <w:rsid w:val="004F3B90"/>
    <w:rsid w:val="004F3E30"/>
    <w:rsid w:val="004F3EF7"/>
    <w:rsid w:val="004F42E6"/>
    <w:rsid w:val="004F4310"/>
    <w:rsid w:val="004F4476"/>
    <w:rsid w:val="004F4617"/>
    <w:rsid w:val="004F463C"/>
    <w:rsid w:val="004F46B2"/>
    <w:rsid w:val="004F47D6"/>
    <w:rsid w:val="004F4C39"/>
    <w:rsid w:val="004F4DB8"/>
    <w:rsid w:val="004F4E4D"/>
    <w:rsid w:val="004F4F6C"/>
    <w:rsid w:val="004F4FB2"/>
    <w:rsid w:val="004F5070"/>
    <w:rsid w:val="004F5126"/>
    <w:rsid w:val="004F5136"/>
    <w:rsid w:val="004F51DD"/>
    <w:rsid w:val="004F5229"/>
    <w:rsid w:val="004F537F"/>
    <w:rsid w:val="004F547D"/>
    <w:rsid w:val="004F552B"/>
    <w:rsid w:val="004F55F9"/>
    <w:rsid w:val="004F5712"/>
    <w:rsid w:val="004F5787"/>
    <w:rsid w:val="004F5B42"/>
    <w:rsid w:val="004F5B74"/>
    <w:rsid w:val="004F5D23"/>
    <w:rsid w:val="004F5D5A"/>
    <w:rsid w:val="004F5D88"/>
    <w:rsid w:val="004F5F89"/>
    <w:rsid w:val="004F6056"/>
    <w:rsid w:val="004F607E"/>
    <w:rsid w:val="004F60F3"/>
    <w:rsid w:val="004F6248"/>
    <w:rsid w:val="004F62B5"/>
    <w:rsid w:val="004F6307"/>
    <w:rsid w:val="004F6328"/>
    <w:rsid w:val="004F6505"/>
    <w:rsid w:val="004F69C7"/>
    <w:rsid w:val="004F6A2D"/>
    <w:rsid w:val="004F6C5B"/>
    <w:rsid w:val="004F6D01"/>
    <w:rsid w:val="004F6D26"/>
    <w:rsid w:val="004F6ED1"/>
    <w:rsid w:val="004F75AB"/>
    <w:rsid w:val="004F75D3"/>
    <w:rsid w:val="004F77AA"/>
    <w:rsid w:val="004F780A"/>
    <w:rsid w:val="004F7A45"/>
    <w:rsid w:val="004F7B37"/>
    <w:rsid w:val="004F7E33"/>
    <w:rsid w:val="004F7E76"/>
    <w:rsid w:val="004F7EF6"/>
    <w:rsid w:val="004F7FAF"/>
    <w:rsid w:val="005000F0"/>
    <w:rsid w:val="00500169"/>
    <w:rsid w:val="00500544"/>
    <w:rsid w:val="005005F7"/>
    <w:rsid w:val="0050060F"/>
    <w:rsid w:val="005006F5"/>
    <w:rsid w:val="00500817"/>
    <w:rsid w:val="00500971"/>
    <w:rsid w:val="00500A94"/>
    <w:rsid w:val="00500B95"/>
    <w:rsid w:val="00500C3A"/>
    <w:rsid w:val="0050110C"/>
    <w:rsid w:val="005012F7"/>
    <w:rsid w:val="005013B7"/>
    <w:rsid w:val="00501686"/>
    <w:rsid w:val="0050173B"/>
    <w:rsid w:val="00501771"/>
    <w:rsid w:val="005017CA"/>
    <w:rsid w:val="00501870"/>
    <w:rsid w:val="005018D7"/>
    <w:rsid w:val="00501961"/>
    <w:rsid w:val="00501A3B"/>
    <w:rsid w:val="00501A6F"/>
    <w:rsid w:val="00501C65"/>
    <w:rsid w:val="00501DDD"/>
    <w:rsid w:val="005021A9"/>
    <w:rsid w:val="00502744"/>
    <w:rsid w:val="00502899"/>
    <w:rsid w:val="00502901"/>
    <w:rsid w:val="00502A86"/>
    <w:rsid w:val="00502AFC"/>
    <w:rsid w:val="00502EFE"/>
    <w:rsid w:val="00502F5A"/>
    <w:rsid w:val="00502FB4"/>
    <w:rsid w:val="00503160"/>
    <w:rsid w:val="0050338B"/>
    <w:rsid w:val="005033F7"/>
    <w:rsid w:val="005034EB"/>
    <w:rsid w:val="005035EA"/>
    <w:rsid w:val="0050364A"/>
    <w:rsid w:val="0050372A"/>
    <w:rsid w:val="00503768"/>
    <w:rsid w:val="005039D4"/>
    <w:rsid w:val="00503BAA"/>
    <w:rsid w:val="00503C24"/>
    <w:rsid w:val="00503D95"/>
    <w:rsid w:val="00503F70"/>
    <w:rsid w:val="00504102"/>
    <w:rsid w:val="005042A8"/>
    <w:rsid w:val="005047C1"/>
    <w:rsid w:val="00504828"/>
    <w:rsid w:val="005048B1"/>
    <w:rsid w:val="0050494A"/>
    <w:rsid w:val="00504B3B"/>
    <w:rsid w:val="00504E9C"/>
    <w:rsid w:val="00504EBE"/>
    <w:rsid w:val="00504F9D"/>
    <w:rsid w:val="005055C4"/>
    <w:rsid w:val="00505774"/>
    <w:rsid w:val="00505805"/>
    <w:rsid w:val="0050584D"/>
    <w:rsid w:val="00506293"/>
    <w:rsid w:val="00506295"/>
    <w:rsid w:val="0050631A"/>
    <w:rsid w:val="005066B4"/>
    <w:rsid w:val="005066CF"/>
    <w:rsid w:val="0050678E"/>
    <w:rsid w:val="00506908"/>
    <w:rsid w:val="00506B4A"/>
    <w:rsid w:val="00506CF9"/>
    <w:rsid w:val="00506DA7"/>
    <w:rsid w:val="00506DCF"/>
    <w:rsid w:val="0050708C"/>
    <w:rsid w:val="005070C8"/>
    <w:rsid w:val="00507182"/>
    <w:rsid w:val="005071E9"/>
    <w:rsid w:val="00507218"/>
    <w:rsid w:val="005073A1"/>
    <w:rsid w:val="00507784"/>
    <w:rsid w:val="00507795"/>
    <w:rsid w:val="0050794C"/>
    <w:rsid w:val="00507987"/>
    <w:rsid w:val="005079B7"/>
    <w:rsid w:val="00507AA7"/>
    <w:rsid w:val="00507C63"/>
    <w:rsid w:val="00507D13"/>
    <w:rsid w:val="00507D2F"/>
    <w:rsid w:val="00507DAA"/>
    <w:rsid w:val="005101F4"/>
    <w:rsid w:val="00510418"/>
    <w:rsid w:val="00510476"/>
    <w:rsid w:val="0051057F"/>
    <w:rsid w:val="00510591"/>
    <w:rsid w:val="00510744"/>
    <w:rsid w:val="0051098A"/>
    <w:rsid w:val="00510A03"/>
    <w:rsid w:val="00510F5F"/>
    <w:rsid w:val="0051104C"/>
    <w:rsid w:val="00511257"/>
    <w:rsid w:val="0051132E"/>
    <w:rsid w:val="00511389"/>
    <w:rsid w:val="00511431"/>
    <w:rsid w:val="005114E7"/>
    <w:rsid w:val="00511630"/>
    <w:rsid w:val="00511704"/>
    <w:rsid w:val="005117E5"/>
    <w:rsid w:val="00511851"/>
    <w:rsid w:val="00511A81"/>
    <w:rsid w:val="00511BD1"/>
    <w:rsid w:val="00511FA3"/>
    <w:rsid w:val="00512024"/>
    <w:rsid w:val="00512356"/>
    <w:rsid w:val="0051241C"/>
    <w:rsid w:val="005125F5"/>
    <w:rsid w:val="005127F6"/>
    <w:rsid w:val="00512829"/>
    <w:rsid w:val="00512D70"/>
    <w:rsid w:val="00512D98"/>
    <w:rsid w:val="00512DEF"/>
    <w:rsid w:val="00512F6B"/>
    <w:rsid w:val="005135E9"/>
    <w:rsid w:val="00513763"/>
    <w:rsid w:val="00513B28"/>
    <w:rsid w:val="00513BF4"/>
    <w:rsid w:val="00513F34"/>
    <w:rsid w:val="00513F40"/>
    <w:rsid w:val="0051409D"/>
    <w:rsid w:val="005142B7"/>
    <w:rsid w:val="005145B8"/>
    <w:rsid w:val="00514679"/>
    <w:rsid w:val="00514AF5"/>
    <w:rsid w:val="00514B33"/>
    <w:rsid w:val="00514CBA"/>
    <w:rsid w:val="00514E0C"/>
    <w:rsid w:val="00514F32"/>
    <w:rsid w:val="00514FCF"/>
    <w:rsid w:val="0051504A"/>
    <w:rsid w:val="00515099"/>
    <w:rsid w:val="0051513A"/>
    <w:rsid w:val="00515199"/>
    <w:rsid w:val="0051556D"/>
    <w:rsid w:val="005155A5"/>
    <w:rsid w:val="005156D1"/>
    <w:rsid w:val="005156DA"/>
    <w:rsid w:val="005157A6"/>
    <w:rsid w:val="005157EB"/>
    <w:rsid w:val="005157EF"/>
    <w:rsid w:val="00515B0B"/>
    <w:rsid w:val="00515B7F"/>
    <w:rsid w:val="00515C4F"/>
    <w:rsid w:val="00515C7E"/>
    <w:rsid w:val="00515F34"/>
    <w:rsid w:val="00515FAF"/>
    <w:rsid w:val="00516055"/>
    <w:rsid w:val="00516268"/>
    <w:rsid w:val="005162D3"/>
    <w:rsid w:val="005162D7"/>
    <w:rsid w:val="0051635C"/>
    <w:rsid w:val="00516531"/>
    <w:rsid w:val="005166C2"/>
    <w:rsid w:val="00516A91"/>
    <w:rsid w:val="00516ACE"/>
    <w:rsid w:val="00516ADA"/>
    <w:rsid w:val="00516AFF"/>
    <w:rsid w:val="00516CD7"/>
    <w:rsid w:val="00516D7A"/>
    <w:rsid w:val="00516DF2"/>
    <w:rsid w:val="00516E98"/>
    <w:rsid w:val="00516EA5"/>
    <w:rsid w:val="00516FF3"/>
    <w:rsid w:val="005172DC"/>
    <w:rsid w:val="00517583"/>
    <w:rsid w:val="0051763B"/>
    <w:rsid w:val="00517830"/>
    <w:rsid w:val="00517AE4"/>
    <w:rsid w:val="00517B99"/>
    <w:rsid w:val="00517BA9"/>
    <w:rsid w:val="00517CE1"/>
    <w:rsid w:val="00517D78"/>
    <w:rsid w:val="00517DA8"/>
    <w:rsid w:val="00520178"/>
    <w:rsid w:val="0052020A"/>
    <w:rsid w:val="00520224"/>
    <w:rsid w:val="0052027D"/>
    <w:rsid w:val="00520336"/>
    <w:rsid w:val="00520396"/>
    <w:rsid w:val="005203DC"/>
    <w:rsid w:val="005206D7"/>
    <w:rsid w:val="00520C8C"/>
    <w:rsid w:val="00521057"/>
    <w:rsid w:val="005210C7"/>
    <w:rsid w:val="005211C7"/>
    <w:rsid w:val="0052125E"/>
    <w:rsid w:val="00521277"/>
    <w:rsid w:val="0052132A"/>
    <w:rsid w:val="00521476"/>
    <w:rsid w:val="005214A2"/>
    <w:rsid w:val="005214E0"/>
    <w:rsid w:val="005216D8"/>
    <w:rsid w:val="00521AB2"/>
    <w:rsid w:val="00521D85"/>
    <w:rsid w:val="00521F5B"/>
    <w:rsid w:val="00522059"/>
    <w:rsid w:val="005221BB"/>
    <w:rsid w:val="00522340"/>
    <w:rsid w:val="005225BE"/>
    <w:rsid w:val="00522654"/>
    <w:rsid w:val="00522AB4"/>
    <w:rsid w:val="00522AFE"/>
    <w:rsid w:val="00522C20"/>
    <w:rsid w:val="00522F80"/>
    <w:rsid w:val="0052319D"/>
    <w:rsid w:val="005233EB"/>
    <w:rsid w:val="0052381F"/>
    <w:rsid w:val="00523A26"/>
    <w:rsid w:val="00523CCA"/>
    <w:rsid w:val="00524355"/>
    <w:rsid w:val="00524517"/>
    <w:rsid w:val="0052461F"/>
    <w:rsid w:val="00524691"/>
    <w:rsid w:val="0052490A"/>
    <w:rsid w:val="00524920"/>
    <w:rsid w:val="00524A5B"/>
    <w:rsid w:val="00524A7E"/>
    <w:rsid w:val="00524AD4"/>
    <w:rsid w:val="00524AFE"/>
    <w:rsid w:val="00524C15"/>
    <w:rsid w:val="00524CBC"/>
    <w:rsid w:val="00524CD6"/>
    <w:rsid w:val="00524E6F"/>
    <w:rsid w:val="00524F29"/>
    <w:rsid w:val="00525401"/>
    <w:rsid w:val="005255BC"/>
    <w:rsid w:val="00525602"/>
    <w:rsid w:val="005258D2"/>
    <w:rsid w:val="00525ACF"/>
    <w:rsid w:val="00525B23"/>
    <w:rsid w:val="00525CFE"/>
    <w:rsid w:val="00525D0F"/>
    <w:rsid w:val="005264AE"/>
    <w:rsid w:val="00526870"/>
    <w:rsid w:val="00526A20"/>
    <w:rsid w:val="00526A35"/>
    <w:rsid w:val="00526A46"/>
    <w:rsid w:val="00526A9F"/>
    <w:rsid w:val="00526C1C"/>
    <w:rsid w:val="00526C39"/>
    <w:rsid w:val="00526C91"/>
    <w:rsid w:val="00526CDB"/>
    <w:rsid w:val="00526E83"/>
    <w:rsid w:val="0052726A"/>
    <w:rsid w:val="005273B7"/>
    <w:rsid w:val="00527413"/>
    <w:rsid w:val="00527454"/>
    <w:rsid w:val="00527537"/>
    <w:rsid w:val="005275AB"/>
    <w:rsid w:val="0052771F"/>
    <w:rsid w:val="005277F8"/>
    <w:rsid w:val="00527895"/>
    <w:rsid w:val="00527990"/>
    <w:rsid w:val="00527AC0"/>
    <w:rsid w:val="00527B48"/>
    <w:rsid w:val="00527BD3"/>
    <w:rsid w:val="00527C04"/>
    <w:rsid w:val="005301AA"/>
    <w:rsid w:val="005301DC"/>
    <w:rsid w:val="00530238"/>
    <w:rsid w:val="00530603"/>
    <w:rsid w:val="00530815"/>
    <w:rsid w:val="00530843"/>
    <w:rsid w:val="0053091F"/>
    <w:rsid w:val="005309E2"/>
    <w:rsid w:val="005309F5"/>
    <w:rsid w:val="00530A69"/>
    <w:rsid w:val="00530B73"/>
    <w:rsid w:val="00530BD3"/>
    <w:rsid w:val="00530DB0"/>
    <w:rsid w:val="00530FFC"/>
    <w:rsid w:val="00531159"/>
    <w:rsid w:val="005311AD"/>
    <w:rsid w:val="0053138F"/>
    <w:rsid w:val="005313A3"/>
    <w:rsid w:val="005313CB"/>
    <w:rsid w:val="005313DC"/>
    <w:rsid w:val="00531529"/>
    <w:rsid w:val="00531615"/>
    <w:rsid w:val="00531629"/>
    <w:rsid w:val="00531639"/>
    <w:rsid w:val="005317DC"/>
    <w:rsid w:val="00531A1F"/>
    <w:rsid w:val="00531A32"/>
    <w:rsid w:val="00531B54"/>
    <w:rsid w:val="00531C43"/>
    <w:rsid w:val="00531D42"/>
    <w:rsid w:val="00531DE3"/>
    <w:rsid w:val="005320AD"/>
    <w:rsid w:val="005320C3"/>
    <w:rsid w:val="005320D1"/>
    <w:rsid w:val="00532119"/>
    <w:rsid w:val="0053229A"/>
    <w:rsid w:val="00532588"/>
    <w:rsid w:val="0053259E"/>
    <w:rsid w:val="005325A3"/>
    <w:rsid w:val="00532642"/>
    <w:rsid w:val="0053264B"/>
    <w:rsid w:val="00532685"/>
    <w:rsid w:val="00532809"/>
    <w:rsid w:val="005328AF"/>
    <w:rsid w:val="005328F8"/>
    <w:rsid w:val="00532AB3"/>
    <w:rsid w:val="00532C3F"/>
    <w:rsid w:val="00532C4A"/>
    <w:rsid w:val="00532F20"/>
    <w:rsid w:val="0053307F"/>
    <w:rsid w:val="005333CC"/>
    <w:rsid w:val="005335AB"/>
    <w:rsid w:val="00533A48"/>
    <w:rsid w:val="00533A54"/>
    <w:rsid w:val="00533C81"/>
    <w:rsid w:val="00533E20"/>
    <w:rsid w:val="00533F0A"/>
    <w:rsid w:val="00533F97"/>
    <w:rsid w:val="00534012"/>
    <w:rsid w:val="0053411A"/>
    <w:rsid w:val="0053417A"/>
    <w:rsid w:val="005341CD"/>
    <w:rsid w:val="0053436C"/>
    <w:rsid w:val="005343AD"/>
    <w:rsid w:val="005347FC"/>
    <w:rsid w:val="00534A86"/>
    <w:rsid w:val="00534ADF"/>
    <w:rsid w:val="00534BF3"/>
    <w:rsid w:val="00534E6F"/>
    <w:rsid w:val="00535183"/>
    <w:rsid w:val="00535323"/>
    <w:rsid w:val="005353DF"/>
    <w:rsid w:val="005357F8"/>
    <w:rsid w:val="00535831"/>
    <w:rsid w:val="005358BA"/>
    <w:rsid w:val="0053592A"/>
    <w:rsid w:val="005359BE"/>
    <w:rsid w:val="00535C5C"/>
    <w:rsid w:val="00535E7F"/>
    <w:rsid w:val="00535E87"/>
    <w:rsid w:val="00535E8E"/>
    <w:rsid w:val="00535F73"/>
    <w:rsid w:val="00536261"/>
    <w:rsid w:val="00536400"/>
    <w:rsid w:val="00536927"/>
    <w:rsid w:val="005369D1"/>
    <w:rsid w:val="00536B50"/>
    <w:rsid w:val="00536B70"/>
    <w:rsid w:val="00536C00"/>
    <w:rsid w:val="00536F16"/>
    <w:rsid w:val="00536F4D"/>
    <w:rsid w:val="00537055"/>
    <w:rsid w:val="005370A9"/>
    <w:rsid w:val="005371D1"/>
    <w:rsid w:val="0053721D"/>
    <w:rsid w:val="00537357"/>
    <w:rsid w:val="0053753C"/>
    <w:rsid w:val="00537992"/>
    <w:rsid w:val="005379EE"/>
    <w:rsid w:val="00537B13"/>
    <w:rsid w:val="00537B7D"/>
    <w:rsid w:val="00537C2A"/>
    <w:rsid w:val="00537DFE"/>
    <w:rsid w:val="00537EB0"/>
    <w:rsid w:val="00537EC7"/>
    <w:rsid w:val="005401CE"/>
    <w:rsid w:val="00540477"/>
    <w:rsid w:val="0054057B"/>
    <w:rsid w:val="0054057D"/>
    <w:rsid w:val="005406DF"/>
    <w:rsid w:val="0054073E"/>
    <w:rsid w:val="0054075F"/>
    <w:rsid w:val="00540886"/>
    <w:rsid w:val="00540D96"/>
    <w:rsid w:val="00540EAA"/>
    <w:rsid w:val="00541296"/>
    <w:rsid w:val="005415F2"/>
    <w:rsid w:val="00541719"/>
    <w:rsid w:val="00541906"/>
    <w:rsid w:val="00541A4B"/>
    <w:rsid w:val="00541ACC"/>
    <w:rsid w:val="00541B0D"/>
    <w:rsid w:val="00541CB3"/>
    <w:rsid w:val="00541D57"/>
    <w:rsid w:val="00541E48"/>
    <w:rsid w:val="00541E8B"/>
    <w:rsid w:val="00541FA1"/>
    <w:rsid w:val="00541FD8"/>
    <w:rsid w:val="00542047"/>
    <w:rsid w:val="0054216B"/>
    <w:rsid w:val="0054233A"/>
    <w:rsid w:val="00542380"/>
    <w:rsid w:val="005424D8"/>
    <w:rsid w:val="00542502"/>
    <w:rsid w:val="0054256A"/>
    <w:rsid w:val="005428C1"/>
    <w:rsid w:val="005428D0"/>
    <w:rsid w:val="00542C50"/>
    <w:rsid w:val="00542DE8"/>
    <w:rsid w:val="00542EC6"/>
    <w:rsid w:val="00543333"/>
    <w:rsid w:val="005435B0"/>
    <w:rsid w:val="005435B3"/>
    <w:rsid w:val="0054380D"/>
    <w:rsid w:val="00543855"/>
    <w:rsid w:val="005438AC"/>
    <w:rsid w:val="00543999"/>
    <w:rsid w:val="005439C9"/>
    <w:rsid w:val="00543A48"/>
    <w:rsid w:val="00543ABC"/>
    <w:rsid w:val="00543C4C"/>
    <w:rsid w:val="00543E7D"/>
    <w:rsid w:val="00544020"/>
    <w:rsid w:val="0054406B"/>
    <w:rsid w:val="005440C7"/>
    <w:rsid w:val="005440E3"/>
    <w:rsid w:val="00544769"/>
    <w:rsid w:val="005447DC"/>
    <w:rsid w:val="0054480E"/>
    <w:rsid w:val="00544996"/>
    <w:rsid w:val="00544B01"/>
    <w:rsid w:val="00544CA4"/>
    <w:rsid w:val="0054500E"/>
    <w:rsid w:val="005451C8"/>
    <w:rsid w:val="005451DE"/>
    <w:rsid w:val="00545252"/>
    <w:rsid w:val="00545253"/>
    <w:rsid w:val="0054530C"/>
    <w:rsid w:val="0054556A"/>
    <w:rsid w:val="00545675"/>
    <w:rsid w:val="005457AE"/>
    <w:rsid w:val="00545896"/>
    <w:rsid w:val="005458EA"/>
    <w:rsid w:val="00545979"/>
    <w:rsid w:val="00545C71"/>
    <w:rsid w:val="00545EE7"/>
    <w:rsid w:val="005465D7"/>
    <w:rsid w:val="00546679"/>
    <w:rsid w:val="0054679C"/>
    <w:rsid w:val="0054693B"/>
    <w:rsid w:val="00546AF3"/>
    <w:rsid w:val="00546B9E"/>
    <w:rsid w:val="00546D0A"/>
    <w:rsid w:val="00546D8F"/>
    <w:rsid w:val="00546E04"/>
    <w:rsid w:val="00546EFC"/>
    <w:rsid w:val="00547074"/>
    <w:rsid w:val="00547098"/>
    <w:rsid w:val="00547117"/>
    <w:rsid w:val="00547131"/>
    <w:rsid w:val="005471F1"/>
    <w:rsid w:val="005473CC"/>
    <w:rsid w:val="00547475"/>
    <w:rsid w:val="00547603"/>
    <w:rsid w:val="0054782E"/>
    <w:rsid w:val="00547872"/>
    <w:rsid w:val="0054788D"/>
    <w:rsid w:val="005478F6"/>
    <w:rsid w:val="00547948"/>
    <w:rsid w:val="005479BD"/>
    <w:rsid w:val="00547B29"/>
    <w:rsid w:val="00547CEE"/>
    <w:rsid w:val="00547DBC"/>
    <w:rsid w:val="00547DFF"/>
    <w:rsid w:val="00547F05"/>
    <w:rsid w:val="00550137"/>
    <w:rsid w:val="0055045B"/>
    <w:rsid w:val="005507C9"/>
    <w:rsid w:val="005508A8"/>
    <w:rsid w:val="005509A0"/>
    <w:rsid w:val="005509F4"/>
    <w:rsid w:val="00550BDA"/>
    <w:rsid w:val="00550D81"/>
    <w:rsid w:val="00550F23"/>
    <w:rsid w:val="005510ED"/>
    <w:rsid w:val="005511A1"/>
    <w:rsid w:val="00551310"/>
    <w:rsid w:val="005513B3"/>
    <w:rsid w:val="00551654"/>
    <w:rsid w:val="005516D4"/>
    <w:rsid w:val="005518DE"/>
    <w:rsid w:val="005519DC"/>
    <w:rsid w:val="005519EF"/>
    <w:rsid w:val="00551A60"/>
    <w:rsid w:val="00551B0E"/>
    <w:rsid w:val="00551B68"/>
    <w:rsid w:val="00551BA8"/>
    <w:rsid w:val="00551CE8"/>
    <w:rsid w:val="005524D1"/>
    <w:rsid w:val="005525CF"/>
    <w:rsid w:val="00552804"/>
    <w:rsid w:val="005528F0"/>
    <w:rsid w:val="00552B20"/>
    <w:rsid w:val="00552B49"/>
    <w:rsid w:val="00552D44"/>
    <w:rsid w:val="00552E0B"/>
    <w:rsid w:val="00553007"/>
    <w:rsid w:val="00553030"/>
    <w:rsid w:val="0055321F"/>
    <w:rsid w:val="005532DB"/>
    <w:rsid w:val="00553475"/>
    <w:rsid w:val="005536B4"/>
    <w:rsid w:val="005537B5"/>
    <w:rsid w:val="005538C1"/>
    <w:rsid w:val="005538FF"/>
    <w:rsid w:val="005539FD"/>
    <w:rsid w:val="00553B2B"/>
    <w:rsid w:val="00553BC5"/>
    <w:rsid w:val="00553D2A"/>
    <w:rsid w:val="00553DA4"/>
    <w:rsid w:val="00553DC1"/>
    <w:rsid w:val="00553F13"/>
    <w:rsid w:val="00553F88"/>
    <w:rsid w:val="0055410A"/>
    <w:rsid w:val="00554207"/>
    <w:rsid w:val="00554488"/>
    <w:rsid w:val="00554559"/>
    <w:rsid w:val="0055458C"/>
    <w:rsid w:val="00554601"/>
    <w:rsid w:val="00554723"/>
    <w:rsid w:val="00554E1E"/>
    <w:rsid w:val="00554FF7"/>
    <w:rsid w:val="00555095"/>
    <w:rsid w:val="005550AF"/>
    <w:rsid w:val="005552F5"/>
    <w:rsid w:val="005552F7"/>
    <w:rsid w:val="005553BF"/>
    <w:rsid w:val="0055546B"/>
    <w:rsid w:val="00555621"/>
    <w:rsid w:val="005557D9"/>
    <w:rsid w:val="00555C25"/>
    <w:rsid w:val="00555E50"/>
    <w:rsid w:val="00555FF2"/>
    <w:rsid w:val="00556015"/>
    <w:rsid w:val="00556350"/>
    <w:rsid w:val="0055639E"/>
    <w:rsid w:val="00556439"/>
    <w:rsid w:val="0055661B"/>
    <w:rsid w:val="0055663D"/>
    <w:rsid w:val="00556AF5"/>
    <w:rsid w:val="00556C1C"/>
    <w:rsid w:val="00556D45"/>
    <w:rsid w:val="00556D80"/>
    <w:rsid w:val="00557238"/>
    <w:rsid w:val="00557758"/>
    <w:rsid w:val="00557780"/>
    <w:rsid w:val="005578B0"/>
    <w:rsid w:val="00557CE2"/>
    <w:rsid w:val="00557E1E"/>
    <w:rsid w:val="00557FCB"/>
    <w:rsid w:val="00560086"/>
    <w:rsid w:val="00560369"/>
    <w:rsid w:val="0056047A"/>
    <w:rsid w:val="00560571"/>
    <w:rsid w:val="005605C4"/>
    <w:rsid w:val="0056075D"/>
    <w:rsid w:val="0056098F"/>
    <w:rsid w:val="00560A2F"/>
    <w:rsid w:val="00560B82"/>
    <w:rsid w:val="00560B83"/>
    <w:rsid w:val="00560C53"/>
    <w:rsid w:val="00560ED3"/>
    <w:rsid w:val="005610D6"/>
    <w:rsid w:val="00561193"/>
    <w:rsid w:val="0056122D"/>
    <w:rsid w:val="00561301"/>
    <w:rsid w:val="0056147E"/>
    <w:rsid w:val="00561502"/>
    <w:rsid w:val="0056174C"/>
    <w:rsid w:val="005619C8"/>
    <w:rsid w:val="00561B67"/>
    <w:rsid w:val="00561BB8"/>
    <w:rsid w:val="00561C43"/>
    <w:rsid w:val="00561C94"/>
    <w:rsid w:val="00561D21"/>
    <w:rsid w:val="00561D83"/>
    <w:rsid w:val="0056206F"/>
    <w:rsid w:val="0056216D"/>
    <w:rsid w:val="005622F0"/>
    <w:rsid w:val="00562671"/>
    <w:rsid w:val="00562730"/>
    <w:rsid w:val="005628B4"/>
    <w:rsid w:val="005628D8"/>
    <w:rsid w:val="00562C33"/>
    <w:rsid w:val="00562F8B"/>
    <w:rsid w:val="005632BE"/>
    <w:rsid w:val="005635C8"/>
    <w:rsid w:val="00563753"/>
    <w:rsid w:val="0056376E"/>
    <w:rsid w:val="005637E1"/>
    <w:rsid w:val="0056391A"/>
    <w:rsid w:val="0056391B"/>
    <w:rsid w:val="00563945"/>
    <w:rsid w:val="005639D4"/>
    <w:rsid w:val="00563A2D"/>
    <w:rsid w:val="00563D06"/>
    <w:rsid w:val="00563F5F"/>
    <w:rsid w:val="005640F5"/>
    <w:rsid w:val="0056417F"/>
    <w:rsid w:val="0056442A"/>
    <w:rsid w:val="00564579"/>
    <w:rsid w:val="0056469A"/>
    <w:rsid w:val="00564DEC"/>
    <w:rsid w:val="00564F68"/>
    <w:rsid w:val="0056507E"/>
    <w:rsid w:val="00565186"/>
    <w:rsid w:val="00565207"/>
    <w:rsid w:val="00565421"/>
    <w:rsid w:val="00565640"/>
    <w:rsid w:val="00565729"/>
    <w:rsid w:val="005657B7"/>
    <w:rsid w:val="005659FA"/>
    <w:rsid w:val="0056607A"/>
    <w:rsid w:val="005662D8"/>
    <w:rsid w:val="0056645F"/>
    <w:rsid w:val="005664D5"/>
    <w:rsid w:val="00566728"/>
    <w:rsid w:val="00566829"/>
    <w:rsid w:val="00566878"/>
    <w:rsid w:val="005668DF"/>
    <w:rsid w:val="00566968"/>
    <w:rsid w:val="00566A19"/>
    <w:rsid w:val="00566BC4"/>
    <w:rsid w:val="00566CA6"/>
    <w:rsid w:val="00566E7E"/>
    <w:rsid w:val="00566EFD"/>
    <w:rsid w:val="00567043"/>
    <w:rsid w:val="005670EA"/>
    <w:rsid w:val="0056717B"/>
    <w:rsid w:val="005672CF"/>
    <w:rsid w:val="005672F6"/>
    <w:rsid w:val="00567409"/>
    <w:rsid w:val="005674C1"/>
    <w:rsid w:val="00567722"/>
    <w:rsid w:val="00567819"/>
    <w:rsid w:val="005678BE"/>
    <w:rsid w:val="005678E0"/>
    <w:rsid w:val="0056791D"/>
    <w:rsid w:val="00567A0A"/>
    <w:rsid w:val="00567A57"/>
    <w:rsid w:val="00567B4B"/>
    <w:rsid w:val="00567C69"/>
    <w:rsid w:val="00567DBD"/>
    <w:rsid w:val="00567EC9"/>
    <w:rsid w:val="0057000B"/>
    <w:rsid w:val="005701FA"/>
    <w:rsid w:val="0057051D"/>
    <w:rsid w:val="00570766"/>
    <w:rsid w:val="005707A9"/>
    <w:rsid w:val="005707BC"/>
    <w:rsid w:val="00570816"/>
    <w:rsid w:val="0057087D"/>
    <w:rsid w:val="0057093C"/>
    <w:rsid w:val="005709F7"/>
    <w:rsid w:val="00570ADA"/>
    <w:rsid w:val="00570BAD"/>
    <w:rsid w:val="00570C20"/>
    <w:rsid w:val="00570C3E"/>
    <w:rsid w:val="00570E23"/>
    <w:rsid w:val="00570FDC"/>
    <w:rsid w:val="00571114"/>
    <w:rsid w:val="00571121"/>
    <w:rsid w:val="005711BB"/>
    <w:rsid w:val="005712F4"/>
    <w:rsid w:val="005714A0"/>
    <w:rsid w:val="00571513"/>
    <w:rsid w:val="0057155E"/>
    <w:rsid w:val="005715AD"/>
    <w:rsid w:val="00571F05"/>
    <w:rsid w:val="005720A4"/>
    <w:rsid w:val="0057239B"/>
    <w:rsid w:val="005727EF"/>
    <w:rsid w:val="0057284B"/>
    <w:rsid w:val="0057296D"/>
    <w:rsid w:val="00572A59"/>
    <w:rsid w:val="00572C86"/>
    <w:rsid w:val="00572D01"/>
    <w:rsid w:val="00572D45"/>
    <w:rsid w:val="00572E34"/>
    <w:rsid w:val="00572ED4"/>
    <w:rsid w:val="00572F13"/>
    <w:rsid w:val="00572F4B"/>
    <w:rsid w:val="00573204"/>
    <w:rsid w:val="00573221"/>
    <w:rsid w:val="0057353F"/>
    <w:rsid w:val="0057363F"/>
    <w:rsid w:val="00573784"/>
    <w:rsid w:val="00573B3E"/>
    <w:rsid w:val="00573C12"/>
    <w:rsid w:val="00573D74"/>
    <w:rsid w:val="00573DF6"/>
    <w:rsid w:val="005744ED"/>
    <w:rsid w:val="005745AA"/>
    <w:rsid w:val="00574691"/>
    <w:rsid w:val="00574AEF"/>
    <w:rsid w:val="00574C0F"/>
    <w:rsid w:val="00574E09"/>
    <w:rsid w:val="00574E6B"/>
    <w:rsid w:val="00574EAF"/>
    <w:rsid w:val="00574F79"/>
    <w:rsid w:val="00574F96"/>
    <w:rsid w:val="0057505D"/>
    <w:rsid w:val="005750A6"/>
    <w:rsid w:val="00575160"/>
    <w:rsid w:val="005754C2"/>
    <w:rsid w:val="005754F1"/>
    <w:rsid w:val="0057570D"/>
    <w:rsid w:val="005757AE"/>
    <w:rsid w:val="00575876"/>
    <w:rsid w:val="005759CC"/>
    <w:rsid w:val="00575AFC"/>
    <w:rsid w:val="00575B4D"/>
    <w:rsid w:val="00575C6C"/>
    <w:rsid w:val="00575CED"/>
    <w:rsid w:val="00575E9F"/>
    <w:rsid w:val="005760BB"/>
    <w:rsid w:val="005761B8"/>
    <w:rsid w:val="00576526"/>
    <w:rsid w:val="00576564"/>
    <w:rsid w:val="0057686C"/>
    <w:rsid w:val="005768B7"/>
    <w:rsid w:val="005768DD"/>
    <w:rsid w:val="0057699F"/>
    <w:rsid w:val="00576A74"/>
    <w:rsid w:val="00576E27"/>
    <w:rsid w:val="00576E7F"/>
    <w:rsid w:val="005773B3"/>
    <w:rsid w:val="005774B7"/>
    <w:rsid w:val="005776CA"/>
    <w:rsid w:val="0057770A"/>
    <w:rsid w:val="00577786"/>
    <w:rsid w:val="005777B4"/>
    <w:rsid w:val="005777BA"/>
    <w:rsid w:val="005779E6"/>
    <w:rsid w:val="00577B42"/>
    <w:rsid w:val="00577C18"/>
    <w:rsid w:val="00577D58"/>
    <w:rsid w:val="00577EDA"/>
    <w:rsid w:val="005802B5"/>
    <w:rsid w:val="005803F8"/>
    <w:rsid w:val="0058044D"/>
    <w:rsid w:val="0058047F"/>
    <w:rsid w:val="005804A9"/>
    <w:rsid w:val="00580619"/>
    <w:rsid w:val="005806C5"/>
    <w:rsid w:val="005809C5"/>
    <w:rsid w:val="005809F2"/>
    <w:rsid w:val="00580B7D"/>
    <w:rsid w:val="00580C0E"/>
    <w:rsid w:val="00580D2C"/>
    <w:rsid w:val="00580ED8"/>
    <w:rsid w:val="005811DB"/>
    <w:rsid w:val="00581590"/>
    <w:rsid w:val="005819B9"/>
    <w:rsid w:val="00581E7C"/>
    <w:rsid w:val="00581FFB"/>
    <w:rsid w:val="00582AE8"/>
    <w:rsid w:val="00582C35"/>
    <w:rsid w:val="00582DAD"/>
    <w:rsid w:val="00582DCD"/>
    <w:rsid w:val="00582E37"/>
    <w:rsid w:val="00582EAE"/>
    <w:rsid w:val="00582F51"/>
    <w:rsid w:val="00583039"/>
    <w:rsid w:val="005831EA"/>
    <w:rsid w:val="005832EE"/>
    <w:rsid w:val="00583610"/>
    <w:rsid w:val="0058375C"/>
    <w:rsid w:val="00583767"/>
    <w:rsid w:val="00583811"/>
    <w:rsid w:val="0058383D"/>
    <w:rsid w:val="005838F1"/>
    <w:rsid w:val="00583A45"/>
    <w:rsid w:val="00583CD5"/>
    <w:rsid w:val="00583E65"/>
    <w:rsid w:val="00583F57"/>
    <w:rsid w:val="00583FB0"/>
    <w:rsid w:val="0058404C"/>
    <w:rsid w:val="0058424B"/>
    <w:rsid w:val="0058438F"/>
    <w:rsid w:val="0058442D"/>
    <w:rsid w:val="005846A3"/>
    <w:rsid w:val="00584986"/>
    <w:rsid w:val="00584A39"/>
    <w:rsid w:val="00584BB1"/>
    <w:rsid w:val="00584D0F"/>
    <w:rsid w:val="00584D1F"/>
    <w:rsid w:val="00584E72"/>
    <w:rsid w:val="00584E88"/>
    <w:rsid w:val="005850B3"/>
    <w:rsid w:val="0058536F"/>
    <w:rsid w:val="00585449"/>
    <w:rsid w:val="0058544D"/>
    <w:rsid w:val="005854F3"/>
    <w:rsid w:val="005856DB"/>
    <w:rsid w:val="005856EC"/>
    <w:rsid w:val="0058577B"/>
    <w:rsid w:val="00585ABF"/>
    <w:rsid w:val="00585DD6"/>
    <w:rsid w:val="00585E57"/>
    <w:rsid w:val="00585FA8"/>
    <w:rsid w:val="00586156"/>
    <w:rsid w:val="00586195"/>
    <w:rsid w:val="005861F3"/>
    <w:rsid w:val="00586239"/>
    <w:rsid w:val="005863B7"/>
    <w:rsid w:val="005864FD"/>
    <w:rsid w:val="00586519"/>
    <w:rsid w:val="00586638"/>
    <w:rsid w:val="00586655"/>
    <w:rsid w:val="00586A3F"/>
    <w:rsid w:val="00586A43"/>
    <w:rsid w:val="00586ABC"/>
    <w:rsid w:val="00586C92"/>
    <w:rsid w:val="00586D07"/>
    <w:rsid w:val="00586EAA"/>
    <w:rsid w:val="0058707F"/>
    <w:rsid w:val="00587139"/>
    <w:rsid w:val="00587321"/>
    <w:rsid w:val="00587432"/>
    <w:rsid w:val="005879BC"/>
    <w:rsid w:val="00587A12"/>
    <w:rsid w:val="00587B4A"/>
    <w:rsid w:val="00587C65"/>
    <w:rsid w:val="00587EAB"/>
    <w:rsid w:val="00587F62"/>
    <w:rsid w:val="00587FE5"/>
    <w:rsid w:val="005900F3"/>
    <w:rsid w:val="0059028B"/>
    <w:rsid w:val="00590321"/>
    <w:rsid w:val="00590668"/>
    <w:rsid w:val="005906FE"/>
    <w:rsid w:val="0059084D"/>
    <w:rsid w:val="00590895"/>
    <w:rsid w:val="005908F1"/>
    <w:rsid w:val="00590937"/>
    <w:rsid w:val="00590A5E"/>
    <w:rsid w:val="00590B03"/>
    <w:rsid w:val="00590E52"/>
    <w:rsid w:val="005910D5"/>
    <w:rsid w:val="0059120E"/>
    <w:rsid w:val="00591303"/>
    <w:rsid w:val="00591364"/>
    <w:rsid w:val="005913AC"/>
    <w:rsid w:val="00591578"/>
    <w:rsid w:val="0059157D"/>
    <w:rsid w:val="005915E7"/>
    <w:rsid w:val="00591762"/>
    <w:rsid w:val="005917FB"/>
    <w:rsid w:val="00591A2A"/>
    <w:rsid w:val="00591CA3"/>
    <w:rsid w:val="00591CA5"/>
    <w:rsid w:val="00591D5C"/>
    <w:rsid w:val="00592041"/>
    <w:rsid w:val="00592169"/>
    <w:rsid w:val="005923AD"/>
    <w:rsid w:val="0059240B"/>
    <w:rsid w:val="0059248C"/>
    <w:rsid w:val="0059258E"/>
    <w:rsid w:val="0059267D"/>
    <w:rsid w:val="005926A9"/>
    <w:rsid w:val="005926FA"/>
    <w:rsid w:val="005927CA"/>
    <w:rsid w:val="00592809"/>
    <w:rsid w:val="00592A4B"/>
    <w:rsid w:val="00592AEA"/>
    <w:rsid w:val="00592B45"/>
    <w:rsid w:val="00592B82"/>
    <w:rsid w:val="00592BAC"/>
    <w:rsid w:val="005930B8"/>
    <w:rsid w:val="00593142"/>
    <w:rsid w:val="00593274"/>
    <w:rsid w:val="005932A7"/>
    <w:rsid w:val="005933AC"/>
    <w:rsid w:val="0059374C"/>
    <w:rsid w:val="00593789"/>
    <w:rsid w:val="00593898"/>
    <w:rsid w:val="00593964"/>
    <w:rsid w:val="00593975"/>
    <w:rsid w:val="00593996"/>
    <w:rsid w:val="005939C2"/>
    <w:rsid w:val="00593AB2"/>
    <w:rsid w:val="00593ABA"/>
    <w:rsid w:val="00593B87"/>
    <w:rsid w:val="00593BA4"/>
    <w:rsid w:val="00593BF8"/>
    <w:rsid w:val="00593D34"/>
    <w:rsid w:val="00593E05"/>
    <w:rsid w:val="005941FA"/>
    <w:rsid w:val="005942B5"/>
    <w:rsid w:val="005943E8"/>
    <w:rsid w:val="00594444"/>
    <w:rsid w:val="00594557"/>
    <w:rsid w:val="00594742"/>
    <w:rsid w:val="005947C5"/>
    <w:rsid w:val="00594837"/>
    <w:rsid w:val="00594867"/>
    <w:rsid w:val="005948F3"/>
    <w:rsid w:val="00594911"/>
    <w:rsid w:val="00594AD2"/>
    <w:rsid w:val="00594E2C"/>
    <w:rsid w:val="00594E4F"/>
    <w:rsid w:val="00594F61"/>
    <w:rsid w:val="0059500D"/>
    <w:rsid w:val="005952AE"/>
    <w:rsid w:val="005952ED"/>
    <w:rsid w:val="00595311"/>
    <w:rsid w:val="0059556D"/>
    <w:rsid w:val="00595701"/>
    <w:rsid w:val="00595924"/>
    <w:rsid w:val="00595AEF"/>
    <w:rsid w:val="00595B2B"/>
    <w:rsid w:val="00595BA2"/>
    <w:rsid w:val="00595BFF"/>
    <w:rsid w:val="0059602C"/>
    <w:rsid w:val="00596489"/>
    <w:rsid w:val="005965DA"/>
    <w:rsid w:val="00596666"/>
    <w:rsid w:val="00596959"/>
    <w:rsid w:val="00596A42"/>
    <w:rsid w:val="00596A7A"/>
    <w:rsid w:val="00596D3A"/>
    <w:rsid w:val="00596E16"/>
    <w:rsid w:val="00597037"/>
    <w:rsid w:val="00597039"/>
    <w:rsid w:val="00597055"/>
    <w:rsid w:val="00597294"/>
    <w:rsid w:val="0059731E"/>
    <w:rsid w:val="0059770E"/>
    <w:rsid w:val="00597A3B"/>
    <w:rsid w:val="00597C0D"/>
    <w:rsid w:val="00597CC6"/>
    <w:rsid w:val="00597D63"/>
    <w:rsid w:val="00597F61"/>
    <w:rsid w:val="00597F72"/>
    <w:rsid w:val="00597F99"/>
    <w:rsid w:val="005A0488"/>
    <w:rsid w:val="005A09F8"/>
    <w:rsid w:val="005A0C85"/>
    <w:rsid w:val="005A0CBA"/>
    <w:rsid w:val="005A0E5C"/>
    <w:rsid w:val="005A12E8"/>
    <w:rsid w:val="005A13EB"/>
    <w:rsid w:val="005A15B3"/>
    <w:rsid w:val="005A15EB"/>
    <w:rsid w:val="005A171C"/>
    <w:rsid w:val="005A173F"/>
    <w:rsid w:val="005A18C3"/>
    <w:rsid w:val="005A196B"/>
    <w:rsid w:val="005A1A8B"/>
    <w:rsid w:val="005A1AFC"/>
    <w:rsid w:val="005A1B7C"/>
    <w:rsid w:val="005A1C17"/>
    <w:rsid w:val="005A1D13"/>
    <w:rsid w:val="005A1D41"/>
    <w:rsid w:val="005A1D56"/>
    <w:rsid w:val="005A1D86"/>
    <w:rsid w:val="005A1DB5"/>
    <w:rsid w:val="005A1EEC"/>
    <w:rsid w:val="005A233B"/>
    <w:rsid w:val="005A2352"/>
    <w:rsid w:val="005A2437"/>
    <w:rsid w:val="005A26A5"/>
    <w:rsid w:val="005A2727"/>
    <w:rsid w:val="005A285B"/>
    <w:rsid w:val="005A2897"/>
    <w:rsid w:val="005A2969"/>
    <w:rsid w:val="005A2AA8"/>
    <w:rsid w:val="005A2B6A"/>
    <w:rsid w:val="005A2BD3"/>
    <w:rsid w:val="005A2C00"/>
    <w:rsid w:val="005A2D31"/>
    <w:rsid w:val="005A2DD8"/>
    <w:rsid w:val="005A31B5"/>
    <w:rsid w:val="005A3263"/>
    <w:rsid w:val="005A32D5"/>
    <w:rsid w:val="005A341C"/>
    <w:rsid w:val="005A3562"/>
    <w:rsid w:val="005A35D9"/>
    <w:rsid w:val="005A36AD"/>
    <w:rsid w:val="005A37B6"/>
    <w:rsid w:val="005A3830"/>
    <w:rsid w:val="005A39F0"/>
    <w:rsid w:val="005A3AE5"/>
    <w:rsid w:val="005A3AEE"/>
    <w:rsid w:val="005A3C4C"/>
    <w:rsid w:val="005A3C58"/>
    <w:rsid w:val="005A4395"/>
    <w:rsid w:val="005A485C"/>
    <w:rsid w:val="005A4A64"/>
    <w:rsid w:val="005A4A68"/>
    <w:rsid w:val="005A5108"/>
    <w:rsid w:val="005A5110"/>
    <w:rsid w:val="005A5276"/>
    <w:rsid w:val="005A53B1"/>
    <w:rsid w:val="005A5599"/>
    <w:rsid w:val="005A55F1"/>
    <w:rsid w:val="005A5A2E"/>
    <w:rsid w:val="005A5A33"/>
    <w:rsid w:val="005A5A61"/>
    <w:rsid w:val="005A5AE9"/>
    <w:rsid w:val="005A5C31"/>
    <w:rsid w:val="005A5D46"/>
    <w:rsid w:val="005A5E7F"/>
    <w:rsid w:val="005A62AD"/>
    <w:rsid w:val="005A62CD"/>
    <w:rsid w:val="005A6461"/>
    <w:rsid w:val="005A66C0"/>
    <w:rsid w:val="005A67DB"/>
    <w:rsid w:val="005A68DE"/>
    <w:rsid w:val="005A6AAD"/>
    <w:rsid w:val="005A6B8F"/>
    <w:rsid w:val="005A6BAE"/>
    <w:rsid w:val="005A6F04"/>
    <w:rsid w:val="005A7323"/>
    <w:rsid w:val="005A7556"/>
    <w:rsid w:val="005A75B7"/>
    <w:rsid w:val="005B0362"/>
    <w:rsid w:val="005B03AF"/>
    <w:rsid w:val="005B03EF"/>
    <w:rsid w:val="005B044C"/>
    <w:rsid w:val="005B0562"/>
    <w:rsid w:val="005B0572"/>
    <w:rsid w:val="005B08B9"/>
    <w:rsid w:val="005B0C0F"/>
    <w:rsid w:val="005B0F25"/>
    <w:rsid w:val="005B1272"/>
    <w:rsid w:val="005B138D"/>
    <w:rsid w:val="005B164F"/>
    <w:rsid w:val="005B16D2"/>
    <w:rsid w:val="005B1A35"/>
    <w:rsid w:val="005B1DFA"/>
    <w:rsid w:val="005B1FD9"/>
    <w:rsid w:val="005B1FF0"/>
    <w:rsid w:val="005B2100"/>
    <w:rsid w:val="005B2214"/>
    <w:rsid w:val="005B22DE"/>
    <w:rsid w:val="005B25F9"/>
    <w:rsid w:val="005B27C2"/>
    <w:rsid w:val="005B2A14"/>
    <w:rsid w:val="005B2A60"/>
    <w:rsid w:val="005B2B28"/>
    <w:rsid w:val="005B2B5B"/>
    <w:rsid w:val="005B2E1F"/>
    <w:rsid w:val="005B2E72"/>
    <w:rsid w:val="005B2EA0"/>
    <w:rsid w:val="005B2FCD"/>
    <w:rsid w:val="005B3041"/>
    <w:rsid w:val="005B309F"/>
    <w:rsid w:val="005B3138"/>
    <w:rsid w:val="005B3202"/>
    <w:rsid w:val="005B323B"/>
    <w:rsid w:val="005B3259"/>
    <w:rsid w:val="005B32D4"/>
    <w:rsid w:val="005B358B"/>
    <w:rsid w:val="005B35E1"/>
    <w:rsid w:val="005B3818"/>
    <w:rsid w:val="005B388E"/>
    <w:rsid w:val="005B3934"/>
    <w:rsid w:val="005B3C81"/>
    <w:rsid w:val="005B3C8A"/>
    <w:rsid w:val="005B3D88"/>
    <w:rsid w:val="005B410D"/>
    <w:rsid w:val="005B4230"/>
    <w:rsid w:val="005B42C4"/>
    <w:rsid w:val="005B42CC"/>
    <w:rsid w:val="005B4436"/>
    <w:rsid w:val="005B4472"/>
    <w:rsid w:val="005B46C6"/>
    <w:rsid w:val="005B4B41"/>
    <w:rsid w:val="005B5093"/>
    <w:rsid w:val="005B52C7"/>
    <w:rsid w:val="005B52E2"/>
    <w:rsid w:val="005B5303"/>
    <w:rsid w:val="005B538D"/>
    <w:rsid w:val="005B5463"/>
    <w:rsid w:val="005B54A7"/>
    <w:rsid w:val="005B55C4"/>
    <w:rsid w:val="005B56DE"/>
    <w:rsid w:val="005B5761"/>
    <w:rsid w:val="005B58A4"/>
    <w:rsid w:val="005B5972"/>
    <w:rsid w:val="005B5A44"/>
    <w:rsid w:val="005B5D1F"/>
    <w:rsid w:val="005B5E63"/>
    <w:rsid w:val="005B6046"/>
    <w:rsid w:val="005B61C2"/>
    <w:rsid w:val="005B6277"/>
    <w:rsid w:val="005B649B"/>
    <w:rsid w:val="005B653B"/>
    <w:rsid w:val="005B674A"/>
    <w:rsid w:val="005B6789"/>
    <w:rsid w:val="005B68D3"/>
    <w:rsid w:val="005B69EA"/>
    <w:rsid w:val="005B6BDE"/>
    <w:rsid w:val="005B6CC7"/>
    <w:rsid w:val="005B6E17"/>
    <w:rsid w:val="005B6F80"/>
    <w:rsid w:val="005B71FE"/>
    <w:rsid w:val="005B761B"/>
    <w:rsid w:val="005B7680"/>
    <w:rsid w:val="005B76E8"/>
    <w:rsid w:val="005B794A"/>
    <w:rsid w:val="005B79ED"/>
    <w:rsid w:val="005B7DD7"/>
    <w:rsid w:val="005C0035"/>
    <w:rsid w:val="005C007A"/>
    <w:rsid w:val="005C0186"/>
    <w:rsid w:val="005C0264"/>
    <w:rsid w:val="005C0319"/>
    <w:rsid w:val="005C048D"/>
    <w:rsid w:val="005C0542"/>
    <w:rsid w:val="005C055F"/>
    <w:rsid w:val="005C0690"/>
    <w:rsid w:val="005C076F"/>
    <w:rsid w:val="005C0A0A"/>
    <w:rsid w:val="005C0C83"/>
    <w:rsid w:val="005C0CB4"/>
    <w:rsid w:val="005C0D7F"/>
    <w:rsid w:val="005C0EB8"/>
    <w:rsid w:val="005C0FD9"/>
    <w:rsid w:val="005C1949"/>
    <w:rsid w:val="005C19AB"/>
    <w:rsid w:val="005C1A93"/>
    <w:rsid w:val="005C1BD5"/>
    <w:rsid w:val="005C1C75"/>
    <w:rsid w:val="005C1D5F"/>
    <w:rsid w:val="005C1FA1"/>
    <w:rsid w:val="005C2067"/>
    <w:rsid w:val="005C2256"/>
    <w:rsid w:val="005C2350"/>
    <w:rsid w:val="005C243B"/>
    <w:rsid w:val="005C2701"/>
    <w:rsid w:val="005C2704"/>
    <w:rsid w:val="005C270C"/>
    <w:rsid w:val="005C2858"/>
    <w:rsid w:val="005C29DE"/>
    <w:rsid w:val="005C2C92"/>
    <w:rsid w:val="005C2CA5"/>
    <w:rsid w:val="005C2DC0"/>
    <w:rsid w:val="005C2DCE"/>
    <w:rsid w:val="005C2DD5"/>
    <w:rsid w:val="005C2E97"/>
    <w:rsid w:val="005C302C"/>
    <w:rsid w:val="005C3174"/>
    <w:rsid w:val="005C3600"/>
    <w:rsid w:val="005C38CC"/>
    <w:rsid w:val="005C3956"/>
    <w:rsid w:val="005C3CA8"/>
    <w:rsid w:val="005C3D5D"/>
    <w:rsid w:val="005C40BB"/>
    <w:rsid w:val="005C41AF"/>
    <w:rsid w:val="005C41E8"/>
    <w:rsid w:val="005C42A0"/>
    <w:rsid w:val="005C454D"/>
    <w:rsid w:val="005C45D7"/>
    <w:rsid w:val="005C45E7"/>
    <w:rsid w:val="005C462A"/>
    <w:rsid w:val="005C46CD"/>
    <w:rsid w:val="005C4818"/>
    <w:rsid w:val="005C4EB4"/>
    <w:rsid w:val="005C4FF1"/>
    <w:rsid w:val="005C50CB"/>
    <w:rsid w:val="005C547C"/>
    <w:rsid w:val="005C5614"/>
    <w:rsid w:val="005C5738"/>
    <w:rsid w:val="005C583F"/>
    <w:rsid w:val="005C5914"/>
    <w:rsid w:val="005C5DC6"/>
    <w:rsid w:val="005C5E99"/>
    <w:rsid w:val="005C5EFD"/>
    <w:rsid w:val="005C6043"/>
    <w:rsid w:val="005C60CB"/>
    <w:rsid w:val="005C6160"/>
    <w:rsid w:val="005C6264"/>
    <w:rsid w:val="005C6353"/>
    <w:rsid w:val="005C6363"/>
    <w:rsid w:val="005C63FA"/>
    <w:rsid w:val="005C6784"/>
    <w:rsid w:val="005C679C"/>
    <w:rsid w:val="005C68AC"/>
    <w:rsid w:val="005C68FB"/>
    <w:rsid w:val="005C6967"/>
    <w:rsid w:val="005C6A1E"/>
    <w:rsid w:val="005C6F1F"/>
    <w:rsid w:val="005C70A8"/>
    <w:rsid w:val="005C71FA"/>
    <w:rsid w:val="005C73B8"/>
    <w:rsid w:val="005C7666"/>
    <w:rsid w:val="005C769A"/>
    <w:rsid w:val="005C76FE"/>
    <w:rsid w:val="005C7724"/>
    <w:rsid w:val="005C7747"/>
    <w:rsid w:val="005C78F6"/>
    <w:rsid w:val="005C7E4A"/>
    <w:rsid w:val="005C7F06"/>
    <w:rsid w:val="005D0146"/>
    <w:rsid w:val="005D018B"/>
    <w:rsid w:val="005D0190"/>
    <w:rsid w:val="005D01AF"/>
    <w:rsid w:val="005D0205"/>
    <w:rsid w:val="005D035E"/>
    <w:rsid w:val="005D0419"/>
    <w:rsid w:val="005D04E7"/>
    <w:rsid w:val="005D056E"/>
    <w:rsid w:val="005D05BD"/>
    <w:rsid w:val="005D0A2A"/>
    <w:rsid w:val="005D0BF6"/>
    <w:rsid w:val="005D0E52"/>
    <w:rsid w:val="005D0E6E"/>
    <w:rsid w:val="005D0F01"/>
    <w:rsid w:val="005D101E"/>
    <w:rsid w:val="005D10FA"/>
    <w:rsid w:val="005D1166"/>
    <w:rsid w:val="005D11F9"/>
    <w:rsid w:val="005D139F"/>
    <w:rsid w:val="005D13F0"/>
    <w:rsid w:val="005D1816"/>
    <w:rsid w:val="005D1857"/>
    <w:rsid w:val="005D1A54"/>
    <w:rsid w:val="005D1AA4"/>
    <w:rsid w:val="005D1ABD"/>
    <w:rsid w:val="005D1B28"/>
    <w:rsid w:val="005D1C40"/>
    <w:rsid w:val="005D1F9B"/>
    <w:rsid w:val="005D21D9"/>
    <w:rsid w:val="005D22E0"/>
    <w:rsid w:val="005D2412"/>
    <w:rsid w:val="005D248D"/>
    <w:rsid w:val="005D25C9"/>
    <w:rsid w:val="005D2918"/>
    <w:rsid w:val="005D2957"/>
    <w:rsid w:val="005D29C8"/>
    <w:rsid w:val="005D2A53"/>
    <w:rsid w:val="005D2A5B"/>
    <w:rsid w:val="005D2A85"/>
    <w:rsid w:val="005D2B41"/>
    <w:rsid w:val="005D2B80"/>
    <w:rsid w:val="005D2B9D"/>
    <w:rsid w:val="005D2DF2"/>
    <w:rsid w:val="005D2EBA"/>
    <w:rsid w:val="005D2EC4"/>
    <w:rsid w:val="005D3144"/>
    <w:rsid w:val="005D315E"/>
    <w:rsid w:val="005D32A3"/>
    <w:rsid w:val="005D32F6"/>
    <w:rsid w:val="005D354A"/>
    <w:rsid w:val="005D35AA"/>
    <w:rsid w:val="005D3608"/>
    <w:rsid w:val="005D37EE"/>
    <w:rsid w:val="005D3803"/>
    <w:rsid w:val="005D3AA0"/>
    <w:rsid w:val="005D3B66"/>
    <w:rsid w:val="005D3CF7"/>
    <w:rsid w:val="005D3D2D"/>
    <w:rsid w:val="005D3F73"/>
    <w:rsid w:val="005D4230"/>
    <w:rsid w:val="005D432C"/>
    <w:rsid w:val="005D4496"/>
    <w:rsid w:val="005D44DB"/>
    <w:rsid w:val="005D47B4"/>
    <w:rsid w:val="005D4970"/>
    <w:rsid w:val="005D4A9D"/>
    <w:rsid w:val="005D4AEF"/>
    <w:rsid w:val="005D4B3D"/>
    <w:rsid w:val="005D4F3C"/>
    <w:rsid w:val="005D4F3F"/>
    <w:rsid w:val="005D52DF"/>
    <w:rsid w:val="005D52F8"/>
    <w:rsid w:val="005D5330"/>
    <w:rsid w:val="005D54D5"/>
    <w:rsid w:val="005D5596"/>
    <w:rsid w:val="005D5643"/>
    <w:rsid w:val="005D573F"/>
    <w:rsid w:val="005D5757"/>
    <w:rsid w:val="005D5785"/>
    <w:rsid w:val="005D57B4"/>
    <w:rsid w:val="005D57DC"/>
    <w:rsid w:val="005D58A0"/>
    <w:rsid w:val="005D58DC"/>
    <w:rsid w:val="005D5A5D"/>
    <w:rsid w:val="005D5A62"/>
    <w:rsid w:val="005D5AC2"/>
    <w:rsid w:val="005D5D9F"/>
    <w:rsid w:val="005D5E65"/>
    <w:rsid w:val="005D5F1C"/>
    <w:rsid w:val="005D6017"/>
    <w:rsid w:val="005D6488"/>
    <w:rsid w:val="005D64AE"/>
    <w:rsid w:val="005D6700"/>
    <w:rsid w:val="005D68EE"/>
    <w:rsid w:val="005D6BBA"/>
    <w:rsid w:val="005D6BCF"/>
    <w:rsid w:val="005D6C1F"/>
    <w:rsid w:val="005D6C4C"/>
    <w:rsid w:val="005D6DF5"/>
    <w:rsid w:val="005D6F27"/>
    <w:rsid w:val="005D6F45"/>
    <w:rsid w:val="005D6F8E"/>
    <w:rsid w:val="005D7014"/>
    <w:rsid w:val="005D721D"/>
    <w:rsid w:val="005D7314"/>
    <w:rsid w:val="005D7373"/>
    <w:rsid w:val="005D75B6"/>
    <w:rsid w:val="005D7698"/>
    <w:rsid w:val="005D7741"/>
    <w:rsid w:val="005D7B34"/>
    <w:rsid w:val="005D7C8E"/>
    <w:rsid w:val="005D7DBF"/>
    <w:rsid w:val="005E0135"/>
    <w:rsid w:val="005E02D0"/>
    <w:rsid w:val="005E05CB"/>
    <w:rsid w:val="005E070C"/>
    <w:rsid w:val="005E0956"/>
    <w:rsid w:val="005E0A09"/>
    <w:rsid w:val="005E0C1F"/>
    <w:rsid w:val="005E0CB9"/>
    <w:rsid w:val="005E0D15"/>
    <w:rsid w:val="005E1094"/>
    <w:rsid w:val="005E1158"/>
    <w:rsid w:val="005E11F3"/>
    <w:rsid w:val="005E1310"/>
    <w:rsid w:val="005E139C"/>
    <w:rsid w:val="005E13A1"/>
    <w:rsid w:val="005E14A6"/>
    <w:rsid w:val="005E160B"/>
    <w:rsid w:val="005E16A0"/>
    <w:rsid w:val="005E181B"/>
    <w:rsid w:val="005E1ADD"/>
    <w:rsid w:val="005E1B94"/>
    <w:rsid w:val="005E1D98"/>
    <w:rsid w:val="005E1DFE"/>
    <w:rsid w:val="005E1E18"/>
    <w:rsid w:val="005E1FDB"/>
    <w:rsid w:val="005E2104"/>
    <w:rsid w:val="005E226D"/>
    <w:rsid w:val="005E22B2"/>
    <w:rsid w:val="005E2442"/>
    <w:rsid w:val="005E26E6"/>
    <w:rsid w:val="005E2917"/>
    <w:rsid w:val="005E298F"/>
    <w:rsid w:val="005E2A79"/>
    <w:rsid w:val="005E2BAD"/>
    <w:rsid w:val="005E2CF0"/>
    <w:rsid w:val="005E2D6B"/>
    <w:rsid w:val="005E2D92"/>
    <w:rsid w:val="005E2E3D"/>
    <w:rsid w:val="005E2EDA"/>
    <w:rsid w:val="005E3000"/>
    <w:rsid w:val="005E3223"/>
    <w:rsid w:val="005E39AE"/>
    <w:rsid w:val="005E3C3C"/>
    <w:rsid w:val="005E3C6A"/>
    <w:rsid w:val="005E3D2C"/>
    <w:rsid w:val="005E456A"/>
    <w:rsid w:val="005E4593"/>
    <w:rsid w:val="005E45B1"/>
    <w:rsid w:val="005E460D"/>
    <w:rsid w:val="005E480F"/>
    <w:rsid w:val="005E481D"/>
    <w:rsid w:val="005E4A11"/>
    <w:rsid w:val="005E4AAC"/>
    <w:rsid w:val="005E4C8F"/>
    <w:rsid w:val="005E51C3"/>
    <w:rsid w:val="005E5346"/>
    <w:rsid w:val="005E53AE"/>
    <w:rsid w:val="005E54B8"/>
    <w:rsid w:val="005E59A8"/>
    <w:rsid w:val="005E59E6"/>
    <w:rsid w:val="005E5AE5"/>
    <w:rsid w:val="005E5AEE"/>
    <w:rsid w:val="005E5F71"/>
    <w:rsid w:val="005E61A5"/>
    <w:rsid w:val="005E6305"/>
    <w:rsid w:val="005E653D"/>
    <w:rsid w:val="005E68FC"/>
    <w:rsid w:val="005E698C"/>
    <w:rsid w:val="005E6BB7"/>
    <w:rsid w:val="005E6C4B"/>
    <w:rsid w:val="005E6CDE"/>
    <w:rsid w:val="005E6CF7"/>
    <w:rsid w:val="005E73A7"/>
    <w:rsid w:val="005E741F"/>
    <w:rsid w:val="005E7434"/>
    <w:rsid w:val="005E7534"/>
    <w:rsid w:val="005E7614"/>
    <w:rsid w:val="005E776B"/>
    <w:rsid w:val="005E78A3"/>
    <w:rsid w:val="005E791A"/>
    <w:rsid w:val="005E7B53"/>
    <w:rsid w:val="005E7DFE"/>
    <w:rsid w:val="005E7EB6"/>
    <w:rsid w:val="005E7F15"/>
    <w:rsid w:val="005E7F4F"/>
    <w:rsid w:val="005F0104"/>
    <w:rsid w:val="005F0124"/>
    <w:rsid w:val="005F01D2"/>
    <w:rsid w:val="005F029E"/>
    <w:rsid w:val="005F02E3"/>
    <w:rsid w:val="005F035A"/>
    <w:rsid w:val="005F046E"/>
    <w:rsid w:val="005F049A"/>
    <w:rsid w:val="005F0641"/>
    <w:rsid w:val="005F0768"/>
    <w:rsid w:val="005F085A"/>
    <w:rsid w:val="005F098C"/>
    <w:rsid w:val="005F0B72"/>
    <w:rsid w:val="005F0EE7"/>
    <w:rsid w:val="005F1265"/>
    <w:rsid w:val="005F149C"/>
    <w:rsid w:val="005F14B0"/>
    <w:rsid w:val="005F157C"/>
    <w:rsid w:val="005F1A73"/>
    <w:rsid w:val="005F1E1C"/>
    <w:rsid w:val="005F2011"/>
    <w:rsid w:val="005F20F6"/>
    <w:rsid w:val="005F2646"/>
    <w:rsid w:val="005F26FD"/>
    <w:rsid w:val="005F282D"/>
    <w:rsid w:val="005F2C35"/>
    <w:rsid w:val="005F2E58"/>
    <w:rsid w:val="005F31BD"/>
    <w:rsid w:val="005F31F4"/>
    <w:rsid w:val="005F325A"/>
    <w:rsid w:val="005F3603"/>
    <w:rsid w:val="005F364B"/>
    <w:rsid w:val="005F3B31"/>
    <w:rsid w:val="005F3D83"/>
    <w:rsid w:val="005F3FD4"/>
    <w:rsid w:val="005F40E3"/>
    <w:rsid w:val="005F4117"/>
    <w:rsid w:val="005F4236"/>
    <w:rsid w:val="005F44A8"/>
    <w:rsid w:val="005F464B"/>
    <w:rsid w:val="005F46CD"/>
    <w:rsid w:val="005F4839"/>
    <w:rsid w:val="005F4AD6"/>
    <w:rsid w:val="005F4AF0"/>
    <w:rsid w:val="005F4B5C"/>
    <w:rsid w:val="005F4B69"/>
    <w:rsid w:val="005F4BE8"/>
    <w:rsid w:val="005F4BF1"/>
    <w:rsid w:val="005F4C1F"/>
    <w:rsid w:val="005F4C34"/>
    <w:rsid w:val="005F4CC3"/>
    <w:rsid w:val="005F4CCF"/>
    <w:rsid w:val="005F4E4F"/>
    <w:rsid w:val="005F502E"/>
    <w:rsid w:val="005F5085"/>
    <w:rsid w:val="005F50DE"/>
    <w:rsid w:val="005F519E"/>
    <w:rsid w:val="005F5376"/>
    <w:rsid w:val="005F55EA"/>
    <w:rsid w:val="005F5774"/>
    <w:rsid w:val="005F58FB"/>
    <w:rsid w:val="005F59A2"/>
    <w:rsid w:val="005F59A3"/>
    <w:rsid w:val="005F59C1"/>
    <w:rsid w:val="005F5AAE"/>
    <w:rsid w:val="005F5BFF"/>
    <w:rsid w:val="005F63E5"/>
    <w:rsid w:val="005F65F6"/>
    <w:rsid w:val="005F6748"/>
    <w:rsid w:val="005F6771"/>
    <w:rsid w:val="005F67D2"/>
    <w:rsid w:val="005F68BE"/>
    <w:rsid w:val="005F6996"/>
    <w:rsid w:val="005F69D7"/>
    <w:rsid w:val="005F6A8C"/>
    <w:rsid w:val="005F6BB8"/>
    <w:rsid w:val="005F6F09"/>
    <w:rsid w:val="005F7089"/>
    <w:rsid w:val="005F71AC"/>
    <w:rsid w:val="005F7356"/>
    <w:rsid w:val="005F74F0"/>
    <w:rsid w:val="005F750B"/>
    <w:rsid w:val="005F778F"/>
    <w:rsid w:val="005F781E"/>
    <w:rsid w:val="005F7886"/>
    <w:rsid w:val="005F7938"/>
    <w:rsid w:val="005F798D"/>
    <w:rsid w:val="005F79CC"/>
    <w:rsid w:val="005F7AF5"/>
    <w:rsid w:val="005F7CEE"/>
    <w:rsid w:val="005F7D67"/>
    <w:rsid w:val="00600004"/>
    <w:rsid w:val="0060049A"/>
    <w:rsid w:val="006005A5"/>
    <w:rsid w:val="0060067E"/>
    <w:rsid w:val="006008D3"/>
    <w:rsid w:val="006009C1"/>
    <w:rsid w:val="00600D72"/>
    <w:rsid w:val="00600DA3"/>
    <w:rsid w:val="00600E2A"/>
    <w:rsid w:val="00600EF6"/>
    <w:rsid w:val="00600F17"/>
    <w:rsid w:val="00601246"/>
    <w:rsid w:val="0060147C"/>
    <w:rsid w:val="006015D6"/>
    <w:rsid w:val="006016B0"/>
    <w:rsid w:val="0060177D"/>
    <w:rsid w:val="00601DF7"/>
    <w:rsid w:val="00602145"/>
    <w:rsid w:val="006023DE"/>
    <w:rsid w:val="00602544"/>
    <w:rsid w:val="00602B48"/>
    <w:rsid w:val="00602C1B"/>
    <w:rsid w:val="00602CB5"/>
    <w:rsid w:val="00602CCA"/>
    <w:rsid w:val="00602E6F"/>
    <w:rsid w:val="006031E2"/>
    <w:rsid w:val="006032AD"/>
    <w:rsid w:val="00603402"/>
    <w:rsid w:val="0060340D"/>
    <w:rsid w:val="006034B7"/>
    <w:rsid w:val="0060351E"/>
    <w:rsid w:val="006035D8"/>
    <w:rsid w:val="0060360D"/>
    <w:rsid w:val="00603ABE"/>
    <w:rsid w:val="00603B51"/>
    <w:rsid w:val="00603C91"/>
    <w:rsid w:val="00603DDE"/>
    <w:rsid w:val="00603DF6"/>
    <w:rsid w:val="00603F83"/>
    <w:rsid w:val="00603FAE"/>
    <w:rsid w:val="00604479"/>
    <w:rsid w:val="006045E2"/>
    <w:rsid w:val="0060477B"/>
    <w:rsid w:val="0060491E"/>
    <w:rsid w:val="00604920"/>
    <w:rsid w:val="00604982"/>
    <w:rsid w:val="00604AFE"/>
    <w:rsid w:val="00604BFE"/>
    <w:rsid w:val="006052CF"/>
    <w:rsid w:val="006053DF"/>
    <w:rsid w:val="006054F0"/>
    <w:rsid w:val="00605560"/>
    <w:rsid w:val="006055E8"/>
    <w:rsid w:val="00605727"/>
    <w:rsid w:val="00605921"/>
    <w:rsid w:val="006059BE"/>
    <w:rsid w:val="00605AA7"/>
    <w:rsid w:val="00605BA3"/>
    <w:rsid w:val="00605C9F"/>
    <w:rsid w:val="00605E02"/>
    <w:rsid w:val="00605EE9"/>
    <w:rsid w:val="00605FE5"/>
    <w:rsid w:val="00606090"/>
    <w:rsid w:val="006061BD"/>
    <w:rsid w:val="00606252"/>
    <w:rsid w:val="0060629B"/>
    <w:rsid w:val="006066A4"/>
    <w:rsid w:val="00606704"/>
    <w:rsid w:val="00606BEB"/>
    <w:rsid w:val="00606DB0"/>
    <w:rsid w:val="00606DBD"/>
    <w:rsid w:val="00606E37"/>
    <w:rsid w:val="00606EBB"/>
    <w:rsid w:val="00606F03"/>
    <w:rsid w:val="00607197"/>
    <w:rsid w:val="0060719C"/>
    <w:rsid w:val="006071CF"/>
    <w:rsid w:val="0060730F"/>
    <w:rsid w:val="00607595"/>
    <w:rsid w:val="006076DA"/>
    <w:rsid w:val="00607773"/>
    <w:rsid w:val="006077CF"/>
    <w:rsid w:val="00607943"/>
    <w:rsid w:val="00607BFE"/>
    <w:rsid w:val="00607D5B"/>
    <w:rsid w:val="00607D7C"/>
    <w:rsid w:val="00607EBD"/>
    <w:rsid w:val="00607ED4"/>
    <w:rsid w:val="00607FB1"/>
    <w:rsid w:val="00607FD1"/>
    <w:rsid w:val="00610058"/>
    <w:rsid w:val="00610087"/>
    <w:rsid w:val="006101C1"/>
    <w:rsid w:val="0061021C"/>
    <w:rsid w:val="00610551"/>
    <w:rsid w:val="00610678"/>
    <w:rsid w:val="00610AFB"/>
    <w:rsid w:val="00610B8D"/>
    <w:rsid w:val="0061112A"/>
    <w:rsid w:val="00611287"/>
    <w:rsid w:val="0061131B"/>
    <w:rsid w:val="00611366"/>
    <w:rsid w:val="006113CF"/>
    <w:rsid w:val="006115D2"/>
    <w:rsid w:val="00611601"/>
    <w:rsid w:val="0061187F"/>
    <w:rsid w:val="00611AC9"/>
    <w:rsid w:val="00611BFB"/>
    <w:rsid w:val="00611C1C"/>
    <w:rsid w:val="00611CBD"/>
    <w:rsid w:val="00611CED"/>
    <w:rsid w:val="00611DD4"/>
    <w:rsid w:val="00611E85"/>
    <w:rsid w:val="006121D8"/>
    <w:rsid w:val="0061251D"/>
    <w:rsid w:val="006125E8"/>
    <w:rsid w:val="00612625"/>
    <w:rsid w:val="00612779"/>
    <w:rsid w:val="006128D5"/>
    <w:rsid w:val="00612929"/>
    <w:rsid w:val="00612C7D"/>
    <w:rsid w:val="00612DB3"/>
    <w:rsid w:val="00612F8C"/>
    <w:rsid w:val="00612FCA"/>
    <w:rsid w:val="00613145"/>
    <w:rsid w:val="006131C2"/>
    <w:rsid w:val="00613255"/>
    <w:rsid w:val="006133D3"/>
    <w:rsid w:val="00613425"/>
    <w:rsid w:val="006134F1"/>
    <w:rsid w:val="00613670"/>
    <w:rsid w:val="006136E5"/>
    <w:rsid w:val="00613907"/>
    <w:rsid w:val="006139CC"/>
    <w:rsid w:val="00613A31"/>
    <w:rsid w:val="00613B91"/>
    <w:rsid w:val="00613F72"/>
    <w:rsid w:val="00614086"/>
    <w:rsid w:val="0061418E"/>
    <w:rsid w:val="006141BE"/>
    <w:rsid w:val="00614319"/>
    <w:rsid w:val="006144C3"/>
    <w:rsid w:val="0061474B"/>
    <w:rsid w:val="006147C0"/>
    <w:rsid w:val="00614864"/>
    <w:rsid w:val="00614B65"/>
    <w:rsid w:val="00614BCB"/>
    <w:rsid w:val="00614CDC"/>
    <w:rsid w:val="00614F30"/>
    <w:rsid w:val="006150F9"/>
    <w:rsid w:val="006152BB"/>
    <w:rsid w:val="00615378"/>
    <w:rsid w:val="00615873"/>
    <w:rsid w:val="006159CE"/>
    <w:rsid w:val="00615DD0"/>
    <w:rsid w:val="00615EAB"/>
    <w:rsid w:val="006162B8"/>
    <w:rsid w:val="006162E0"/>
    <w:rsid w:val="00616335"/>
    <w:rsid w:val="006164F2"/>
    <w:rsid w:val="006165BB"/>
    <w:rsid w:val="00616767"/>
    <w:rsid w:val="0061689F"/>
    <w:rsid w:val="006168CE"/>
    <w:rsid w:val="00616D81"/>
    <w:rsid w:val="00616F3C"/>
    <w:rsid w:val="00617021"/>
    <w:rsid w:val="0061711D"/>
    <w:rsid w:val="006171D4"/>
    <w:rsid w:val="006173AC"/>
    <w:rsid w:val="00617514"/>
    <w:rsid w:val="00617577"/>
    <w:rsid w:val="0061757E"/>
    <w:rsid w:val="0061796F"/>
    <w:rsid w:val="00617ABB"/>
    <w:rsid w:val="00617C60"/>
    <w:rsid w:val="00617D27"/>
    <w:rsid w:val="0062009F"/>
    <w:rsid w:val="006201AE"/>
    <w:rsid w:val="006205D1"/>
    <w:rsid w:val="00620669"/>
    <w:rsid w:val="00620770"/>
    <w:rsid w:val="0062088A"/>
    <w:rsid w:val="00620901"/>
    <w:rsid w:val="00620A58"/>
    <w:rsid w:val="00620BCF"/>
    <w:rsid w:val="00620CD2"/>
    <w:rsid w:val="00620D1F"/>
    <w:rsid w:val="00620DC6"/>
    <w:rsid w:val="00621096"/>
    <w:rsid w:val="006211A8"/>
    <w:rsid w:val="0062120D"/>
    <w:rsid w:val="0062157F"/>
    <w:rsid w:val="00621859"/>
    <w:rsid w:val="006218B5"/>
    <w:rsid w:val="00621903"/>
    <w:rsid w:val="00621BE0"/>
    <w:rsid w:val="00621CAC"/>
    <w:rsid w:val="00621DA6"/>
    <w:rsid w:val="00621E3F"/>
    <w:rsid w:val="00621FE7"/>
    <w:rsid w:val="0062210D"/>
    <w:rsid w:val="00622113"/>
    <w:rsid w:val="0062230D"/>
    <w:rsid w:val="006223A3"/>
    <w:rsid w:val="0062247D"/>
    <w:rsid w:val="00622868"/>
    <w:rsid w:val="00622A17"/>
    <w:rsid w:val="00622A80"/>
    <w:rsid w:val="006231BF"/>
    <w:rsid w:val="00623577"/>
    <w:rsid w:val="006238D9"/>
    <w:rsid w:val="006239BD"/>
    <w:rsid w:val="00623AF8"/>
    <w:rsid w:val="00623BD1"/>
    <w:rsid w:val="00623C79"/>
    <w:rsid w:val="00623CF3"/>
    <w:rsid w:val="00623D82"/>
    <w:rsid w:val="00624530"/>
    <w:rsid w:val="00624AD8"/>
    <w:rsid w:val="00624B25"/>
    <w:rsid w:val="00624C49"/>
    <w:rsid w:val="00624C70"/>
    <w:rsid w:val="00624D48"/>
    <w:rsid w:val="00624DCD"/>
    <w:rsid w:val="00624E77"/>
    <w:rsid w:val="0062520B"/>
    <w:rsid w:val="006253A9"/>
    <w:rsid w:val="006256EB"/>
    <w:rsid w:val="0062572C"/>
    <w:rsid w:val="00625791"/>
    <w:rsid w:val="00625810"/>
    <w:rsid w:val="00625868"/>
    <w:rsid w:val="0062594D"/>
    <w:rsid w:val="00625C4C"/>
    <w:rsid w:val="00625CBF"/>
    <w:rsid w:val="006261B1"/>
    <w:rsid w:val="00626284"/>
    <w:rsid w:val="0062646A"/>
    <w:rsid w:val="00626508"/>
    <w:rsid w:val="006267C9"/>
    <w:rsid w:val="00626885"/>
    <w:rsid w:val="00626BA5"/>
    <w:rsid w:val="00626C7D"/>
    <w:rsid w:val="00626E09"/>
    <w:rsid w:val="00626E45"/>
    <w:rsid w:val="00626E81"/>
    <w:rsid w:val="00626F85"/>
    <w:rsid w:val="00626FCB"/>
    <w:rsid w:val="00627077"/>
    <w:rsid w:val="006271CF"/>
    <w:rsid w:val="00627266"/>
    <w:rsid w:val="006274A0"/>
    <w:rsid w:val="00627552"/>
    <w:rsid w:val="00627686"/>
    <w:rsid w:val="006276B3"/>
    <w:rsid w:val="00627D52"/>
    <w:rsid w:val="00627E38"/>
    <w:rsid w:val="00627FB6"/>
    <w:rsid w:val="00627FCE"/>
    <w:rsid w:val="00630048"/>
    <w:rsid w:val="006300A7"/>
    <w:rsid w:val="0063018F"/>
    <w:rsid w:val="006302E8"/>
    <w:rsid w:val="006302F0"/>
    <w:rsid w:val="00630731"/>
    <w:rsid w:val="00630C17"/>
    <w:rsid w:val="00630C38"/>
    <w:rsid w:val="00630E89"/>
    <w:rsid w:val="00630F4F"/>
    <w:rsid w:val="006310C1"/>
    <w:rsid w:val="006311CF"/>
    <w:rsid w:val="006313B4"/>
    <w:rsid w:val="00631593"/>
    <w:rsid w:val="0063169C"/>
    <w:rsid w:val="00631D57"/>
    <w:rsid w:val="00631F9F"/>
    <w:rsid w:val="00632092"/>
    <w:rsid w:val="006320F4"/>
    <w:rsid w:val="006321BC"/>
    <w:rsid w:val="0063226A"/>
    <w:rsid w:val="0063247A"/>
    <w:rsid w:val="00632750"/>
    <w:rsid w:val="00632872"/>
    <w:rsid w:val="00632884"/>
    <w:rsid w:val="00632969"/>
    <w:rsid w:val="00632A2F"/>
    <w:rsid w:val="00632A3B"/>
    <w:rsid w:val="00632ACB"/>
    <w:rsid w:val="00632C7B"/>
    <w:rsid w:val="00632D1A"/>
    <w:rsid w:val="00632E5E"/>
    <w:rsid w:val="006331B8"/>
    <w:rsid w:val="00633270"/>
    <w:rsid w:val="0063327B"/>
    <w:rsid w:val="0063330D"/>
    <w:rsid w:val="0063331A"/>
    <w:rsid w:val="006333C4"/>
    <w:rsid w:val="006333F6"/>
    <w:rsid w:val="006333FF"/>
    <w:rsid w:val="006335A2"/>
    <w:rsid w:val="006335A3"/>
    <w:rsid w:val="00633637"/>
    <w:rsid w:val="006337AA"/>
    <w:rsid w:val="00633973"/>
    <w:rsid w:val="00633CA1"/>
    <w:rsid w:val="00633CA4"/>
    <w:rsid w:val="00633D89"/>
    <w:rsid w:val="00633DDA"/>
    <w:rsid w:val="00633E3F"/>
    <w:rsid w:val="00633ED3"/>
    <w:rsid w:val="00634141"/>
    <w:rsid w:val="0063423D"/>
    <w:rsid w:val="0063429B"/>
    <w:rsid w:val="00634332"/>
    <w:rsid w:val="00634999"/>
    <w:rsid w:val="006349BD"/>
    <w:rsid w:val="006349C6"/>
    <w:rsid w:val="00634ABC"/>
    <w:rsid w:val="00634C89"/>
    <w:rsid w:val="00634F6A"/>
    <w:rsid w:val="00634F9B"/>
    <w:rsid w:val="006350A1"/>
    <w:rsid w:val="00635202"/>
    <w:rsid w:val="00635300"/>
    <w:rsid w:val="00635459"/>
    <w:rsid w:val="00635494"/>
    <w:rsid w:val="006356AA"/>
    <w:rsid w:val="00635979"/>
    <w:rsid w:val="00635B6E"/>
    <w:rsid w:val="00635D7A"/>
    <w:rsid w:val="00635F5E"/>
    <w:rsid w:val="00636086"/>
    <w:rsid w:val="00636109"/>
    <w:rsid w:val="0063623D"/>
    <w:rsid w:val="00636597"/>
    <w:rsid w:val="00636767"/>
    <w:rsid w:val="00636774"/>
    <w:rsid w:val="00636870"/>
    <w:rsid w:val="00636C08"/>
    <w:rsid w:val="00636E04"/>
    <w:rsid w:val="00637004"/>
    <w:rsid w:val="00637227"/>
    <w:rsid w:val="00637347"/>
    <w:rsid w:val="006373BE"/>
    <w:rsid w:val="00637512"/>
    <w:rsid w:val="00637659"/>
    <w:rsid w:val="00637678"/>
    <w:rsid w:val="00637812"/>
    <w:rsid w:val="00637C11"/>
    <w:rsid w:val="00637E1C"/>
    <w:rsid w:val="00637F8B"/>
    <w:rsid w:val="00640071"/>
    <w:rsid w:val="006400B9"/>
    <w:rsid w:val="006405E8"/>
    <w:rsid w:val="00640649"/>
    <w:rsid w:val="00640726"/>
    <w:rsid w:val="006407E8"/>
    <w:rsid w:val="00640A89"/>
    <w:rsid w:val="00640BC0"/>
    <w:rsid w:val="00640CC3"/>
    <w:rsid w:val="00640E81"/>
    <w:rsid w:val="00640EB7"/>
    <w:rsid w:val="00640F4F"/>
    <w:rsid w:val="0064108C"/>
    <w:rsid w:val="006410B6"/>
    <w:rsid w:val="00641126"/>
    <w:rsid w:val="00641161"/>
    <w:rsid w:val="00641162"/>
    <w:rsid w:val="006411ED"/>
    <w:rsid w:val="00641263"/>
    <w:rsid w:val="00641469"/>
    <w:rsid w:val="0064174B"/>
    <w:rsid w:val="00641760"/>
    <w:rsid w:val="006417C8"/>
    <w:rsid w:val="0064192E"/>
    <w:rsid w:val="00641AE3"/>
    <w:rsid w:val="00641C7A"/>
    <w:rsid w:val="00641D0A"/>
    <w:rsid w:val="00641DAC"/>
    <w:rsid w:val="00641F2D"/>
    <w:rsid w:val="00641F6C"/>
    <w:rsid w:val="0064233D"/>
    <w:rsid w:val="00642801"/>
    <w:rsid w:val="00642886"/>
    <w:rsid w:val="00642AC1"/>
    <w:rsid w:val="00642BA6"/>
    <w:rsid w:val="00642BAB"/>
    <w:rsid w:val="00642C15"/>
    <w:rsid w:val="00642CA4"/>
    <w:rsid w:val="00642D7D"/>
    <w:rsid w:val="00642E96"/>
    <w:rsid w:val="00642ED4"/>
    <w:rsid w:val="00642F1E"/>
    <w:rsid w:val="006437B4"/>
    <w:rsid w:val="00643827"/>
    <w:rsid w:val="0064384F"/>
    <w:rsid w:val="0064388C"/>
    <w:rsid w:val="0064389B"/>
    <w:rsid w:val="006438BC"/>
    <w:rsid w:val="00643AF2"/>
    <w:rsid w:val="00643D21"/>
    <w:rsid w:val="00643E23"/>
    <w:rsid w:val="0064407A"/>
    <w:rsid w:val="0064433C"/>
    <w:rsid w:val="00644355"/>
    <w:rsid w:val="00644457"/>
    <w:rsid w:val="006445D4"/>
    <w:rsid w:val="006447F4"/>
    <w:rsid w:val="00644AB9"/>
    <w:rsid w:val="00644CE1"/>
    <w:rsid w:val="00644D77"/>
    <w:rsid w:val="00644E08"/>
    <w:rsid w:val="00644E18"/>
    <w:rsid w:val="00644ECC"/>
    <w:rsid w:val="0064524C"/>
    <w:rsid w:val="006452C7"/>
    <w:rsid w:val="006453E5"/>
    <w:rsid w:val="00645655"/>
    <w:rsid w:val="00645698"/>
    <w:rsid w:val="006456F2"/>
    <w:rsid w:val="0064582A"/>
    <w:rsid w:val="00645AD6"/>
    <w:rsid w:val="00645B61"/>
    <w:rsid w:val="00645E70"/>
    <w:rsid w:val="00645F39"/>
    <w:rsid w:val="00645F72"/>
    <w:rsid w:val="006460A9"/>
    <w:rsid w:val="006460DD"/>
    <w:rsid w:val="00646183"/>
    <w:rsid w:val="00646243"/>
    <w:rsid w:val="00646BC9"/>
    <w:rsid w:val="00646C16"/>
    <w:rsid w:val="00646D88"/>
    <w:rsid w:val="00646F3D"/>
    <w:rsid w:val="00646FB0"/>
    <w:rsid w:val="00647120"/>
    <w:rsid w:val="00647368"/>
    <w:rsid w:val="006473F6"/>
    <w:rsid w:val="0064744F"/>
    <w:rsid w:val="006474D7"/>
    <w:rsid w:val="00647C0A"/>
    <w:rsid w:val="00647D18"/>
    <w:rsid w:val="00647EFD"/>
    <w:rsid w:val="00650075"/>
    <w:rsid w:val="006502B5"/>
    <w:rsid w:val="0065037A"/>
    <w:rsid w:val="0065058A"/>
    <w:rsid w:val="006505B6"/>
    <w:rsid w:val="0065065F"/>
    <w:rsid w:val="00650807"/>
    <w:rsid w:val="00650820"/>
    <w:rsid w:val="0065088B"/>
    <w:rsid w:val="00650A2B"/>
    <w:rsid w:val="00650A64"/>
    <w:rsid w:val="00650AA1"/>
    <w:rsid w:val="00650CCA"/>
    <w:rsid w:val="00650D13"/>
    <w:rsid w:val="00650E66"/>
    <w:rsid w:val="00650E79"/>
    <w:rsid w:val="0065102B"/>
    <w:rsid w:val="0065114D"/>
    <w:rsid w:val="0065138D"/>
    <w:rsid w:val="00651413"/>
    <w:rsid w:val="00651450"/>
    <w:rsid w:val="0065146E"/>
    <w:rsid w:val="006517DD"/>
    <w:rsid w:val="0065180A"/>
    <w:rsid w:val="006518AD"/>
    <w:rsid w:val="00651C11"/>
    <w:rsid w:val="00651C7A"/>
    <w:rsid w:val="00651FB2"/>
    <w:rsid w:val="006521AD"/>
    <w:rsid w:val="0065241F"/>
    <w:rsid w:val="006524C3"/>
    <w:rsid w:val="00652577"/>
    <w:rsid w:val="006527A9"/>
    <w:rsid w:val="00652900"/>
    <w:rsid w:val="00652A33"/>
    <w:rsid w:val="00652C89"/>
    <w:rsid w:val="00652D4B"/>
    <w:rsid w:val="00652E18"/>
    <w:rsid w:val="0065348D"/>
    <w:rsid w:val="00653684"/>
    <w:rsid w:val="0065370D"/>
    <w:rsid w:val="00653722"/>
    <w:rsid w:val="0065389F"/>
    <w:rsid w:val="00653A89"/>
    <w:rsid w:val="00653D59"/>
    <w:rsid w:val="00653ECC"/>
    <w:rsid w:val="006540F7"/>
    <w:rsid w:val="00654353"/>
    <w:rsid w:val="0065442F"/>
    <w:rsid w:val="00654830"/>
    <w:rsid w:val="00654B2E"/>
    <w:rsid w:val="00654D35"/>
    <w:rsid w:val="00654DBD"/>
    <w:rsid w:val="00654F7F"/>
    <w:rsid w:val="00655030"/>
    <w:rsid w:val="0065507C"/>
    <w:rsid w:val="006550BD"/>
    <w:rsid w:val="0065518B"/>
    <w:rsid w:val="006553E4"/>
    <w:rsid w:val="00655416"/>
    <w:rsid w:val="006555E7"/>
    <w:rsid w:val="00655614"/>
    <w:rsid w:val="00655646"/>
    <w:rsid w:val="00655841"/>
    <w:rsid w:val="0065596E"/>
    <w:rsid w:val="006559D8"/>
    <w:rsid w:val="00655A41"/>
    <w:rsid w:val="00655A7A"/>
    <w:rsid w:val="00655D09"/>
    <w:rsid w:val="00655EA0"/>
    <w:rsid w:val="0065613E"/>
    <w:rsid w:val="0065616B"/>
    <w:rsid w:val="00656516"/>
    <w:rsid w:val="0065659E"/>
    <w:rsid w:val="0065678C"/>
    <w:rsid w:val="00656828"/>
    <w:rsid w:val="00656931"/>
    <w:rsid w:val="00656B39"/>
    <w:rsid w:val="00656CCB"/>
    <w:rsid w:val="00656D11"/>
    <w:rsid w:val="00656FE0"/>
    <w:rsid w:val="00657361"/>
    <w:rsid w:val="006573D7"/>
    <w:rsid w:val="00657403"/>
    <w:rsid w:val="00657575"/>
    <w:rsid w:val="006577E9"/>
    <w:rsid w:val="00657C85"/>
    <w:rsid w:val="00657D2F"/>
    <w:rsid w:val="00657FE8"/>
    <w:rsid w:val="006600EA"/>
    <w:rsid w:val="00660127"/>
    <w:rsid w:val="006601FA"/>
    <w:rsid w:val="00660362"/>
    <w:rsid w:val="00660387"/>
    <w:rsid w:val="00660872"/>
    <w:rsid w:val="006608A8"/>
    <w:rsid w:val="006608B6"/>
    <w:rsid w:val="006609B6"/>
    <w:rsid w:val="00660A0D"/>
    <w:rsid w:val="00660B49"/>
    <w:rsid w:val="00660B5B"/>
    <w:rsid w:val="00660CFD"/>
    <w:rsid w:val="00660E55"/>
    <w:rsid w:val="00660F92"/>
    <w:rsid w:val="006611DB"/>
    <w:rsid w:val="006611EC"/>
    <w:rsid w:val="006614D8"/>
    <w:rsid w:val="00661619"/>
    <w:rsid w:val="006618B2"/>
    <w:rsid w:val="00661935"/>
    <w:rsid w:val="00661A3F"/>
    <w:rsid w:val="00661A72"/>
    <w:rsid w:val="00661D5B"/>
    <w:rsid w:val="00661E1C"/>
    <w:rsid w:val="00661F8A"/>
    <w:rsid w:val="0066224B"/>
    <w:rsid w:val="00662765"/>
    <w:rsid w:val="006629CD"/>
    <w:rsid w:val="00662A6E"/>
    <w:rsid w:val="00662ABE"/>
    <w:rsid w:val="00662B73"/>
    <w:rsid w:val="00662BA1"/>
    <w:rsid w:val="00662BA7"/>
    <w:rsid w:val="00662CB9"/>
    <w:rsid w:val="00662D31"/>
    <w:rsid w:val="00662DB3"/>
    <w:rsid w:val="00662E59"/>
    <w:rsid w:val="00662F0A"/>
    <w:rsid w:val="00663069"/>
    <w:rsid w:val="00663542"/>
    <w:rsid w:val="00663562"/>
    <w:rsid w:val="00663660"/>
    <w:rsid w:val="00663843"/>
    <w:rsid w:val="00663910"/>
    <w:rsid w:val="006639C7"/>
    <w:rsid w:val="006639D7"/>
    <w:rsid w:val="00663A1A"/>
    <w:rsid w:val="00663AFF"/>
    <w:rsid w:val="00663C41"/>
    <w:rsid w:val="00664260"/>
    <w:rsid w:val="00664634"/>
    <w:rsid w:val="00664CC6"/>
    <w:rsid w:val="00664E14"/>
    <w:rsid w:val="006651D8"/>
    <w:rsid w:val="0066567D"/>
    <w:rsid w:val="006656BC"/>
    <w:rsid w:val="00665732"/>
    <w:rsid w:val="006658A8"/>
    <w:rsid w:val="006659A0"/>
    <w:rsid w:val="00665AB5"/>
    <w:rsid w:val="00665C1C"/>
    <w:rsid w:val="00665DAE"/>
    <w:rsid w:val="00665EC9"/>
    <w:rsid w:val="00665EE9"/>
    <w:rsid w:val="00665FF5"/>
    <w:rsid w:val="0066603E"/>
    <w:rsid w:val="00666C7C"/>
    <w:rsid w:val="00666DE3"/>
    <w:rsid w:val="00666E7E"/>
    <w:rsid w:val="0066708D"/>
    <w:rsid w:val="0066714A"/>
    <w:rsid w:val="00667225"/>
    <w:rsid w:val="006673BF"/>
    <w:rsid w:val="0066748E"/>
    <w:rsid w:val="006675C2"/>
    <w:rsid w:val="0066774F"/>
    <w:rsid w:val="00667912"/>
    <w:rsid w:val="00667A5D"/>
    <w:rsid w:val="00667AA3"/>
    <w:rsid w:val="00667CC3"/>
    <w:rsid w:val="00667F87"/>
    <w:rsid w:val="006700A2"/>
    <w:rsid w:val="006700CD"/>
    <w:rsid w:val="0067027C"/>
    <w:rsid w:val="0067031B"/>
    <w:rsid w:val="006708D3"/>
    <w:rsid w:val="00670BCD"/>
    <w:rsid w:val="00670E09"/>
    <w:rsid w:val="00670EA2"/>
    <w:rsid w:val="00670FC9"/>
    <w:rsid w:val="00671035"/>
    <w:rsid w:val="006710C8"/>
    <w:rsid w:val="006712BC"/>
    <w:rsid w:val="006712E0"/>
    <w:rsid w:val="006713E4"/>
    <w:rsid w:val="0067156E"/>
    <w:rsid w:val="006716D1"/>
    <w:rsid w:val="006716DD"/>
    <w:rsid w:val="006716FC"/>
    <w:rsid w:val="0067193A"/>
    <w:rsid w:val="00671ABE"/>
    <w:rsid w:val="00671AC3"/>
    <w:rsid w:val="00671B4E"/>
    <w:rsid w:val="00671C4D"/>
    <w:rsid w:val="00671ECB"/>
    <w:rsid w:val="00671F13"/>
    <w:rsid w:val="00671F7E"/>
    <w:rsid w:val="006721C0"/>
    <w:rsid w:val="00672226"/>
    <w:rsid w:val="006723CC"/>
    <w:rsid w:val="00672976"/>
    <w:rsid w:val="0067297C"/>
    <w:rsid w:val="00672A17"/>
    <w:rsid w:val="00672A5D"/>
    <w:rsid w:val="00672F26"/>
    <w:rsid w:val="00673176"/>
    <w:rsid w:val="0067346A"/>
    <w:rsid w:val="00673656"/>
    <w:rsid w:val="0067371B"/>
    <w:rsid w:val="0067383E"/>
    <w:rsid w:val="00673A74"/>
    <w:rsid w:val="00673C6A"/>
    <w:rsid w:val="00673C92"/>
    <w:rsid w:val="00673D32"/>
    <w:rsid w:val="00673DF8"/>
    <w:rsid w:val="00673E4C"/>
    <w:rsid w:val="006740BC"/>
    <w:rsid w:val="00674190"/>
    <w:rsid w:val="00674235"/>
    <w:rsid w:val="006746BC"/>
    <w:rsid w:val="00674A3F"/>
    <w:rsid w:val="00674E5B"/>
    <w:rsid w:val="00674E9C"/>
    <w:rsid w:val="00674F8A"/>
    <w:rsid w:val="006750C5"/>
    <w:rsid w:val="006750F1"/>
    <w:rsid w:val="00675257"/>
    <w:rsid w:val="00675315"/>
    <w:rsid w:val="00675542"/>
    <w:rsid w:val="006756F6"/>
    <w:rsid w:val="00675793"/>
    <w:rsid w:val="006757B0"/>
    <w:rsid w:val="0067599F"/>
    <w:rsid w:val="00675A24"/>
    <w:rsid w:val="00675AAD"/>
    <w:rsid w:val="00675B65"/>
    <w:rsid w:val="00675C60"/>
    <w:rsid w:val="00675E33"/>
    <w:rsid w:val="00675ECB"/>
    <w:rsid w:val="00676025"/>
    <w:rsid w:val="00676107"/>
    <w:rsid w:val="006761A4"/>
    <w:rsid w:val="006761CC"/>
    <w:rsid w:val="006761E1"/>
    <w:rsid w:val="0067639B"/>
    <w:rsid w:val="00676686"/>
    <w:rsid w:val="0067678F"/>
    <w:rsid w:val="00676AA2"/>
    <w:rsid w:val="00676AF6"/>
    <w:rsid w:val="00676BEF"/>
    <w:rsid w:val="00676C8B"/>
    <w:rsid w:val="006770D0"/>
    <w:rsid w:val="0067726D"/>
    <w:rsid w:val="006773EC"/>
    <w:rsid w:val="00677449"/>
    <w:rsid w:val="0067747E"/>
    <w:rsid w:val="0067794F"/>
    <w:rsid w:val="00677B6E"/>
    <w:rsid w:val="00677CA7"/>
    <w:rsid w:val="00677D2D"/>
    <w:rsid w:val="00677F96"/>
    <w:rsid w:val="006801AB"/>
    <w:rsid w:val="00680363"/>
    <w:rsid w:val="00680433"/>
    <w:rsid w:val="0068067B"/>
    <w:rsid w:val="006807B4"/>
    <w:rsid w:val="006808BB"/>
    <w:rsid w:val="006808F1"/>
    <w:rsid w:val="00680964"/>
    <w:rsid w:val="00680AA9"/>
    <w:rsid w:val="00680E2B"/>
    <w:rsid w:val="00681265"/>
    <w:rsid w:val="00681309"/>
    <w:rsid w:val="006813B9"/>
    <w:rsid w:val="0068140C"/>
    <w:rsid w:val="00681414"/>
    <w:rsid w:val="0068167C"/>
    <w:rsid w:val="00681919"/>
    <w:rsid w:val="00681A5B"/>
    <w:rsid w:val="00681B05"/>
    <w:rsid w:val="00681B9C"/>
    <w:rsid w:val="00681C00"/>
    <w:rsid w:val="00681C73"/>
    <w:rsid w:val="00681CB7"/>
    <w:rsid w:val="00682245"/>
    <w:rsid w:val="00682301"/>
    <w:rsid w:val="006823F6"/>
    <w:rsid w:val="006824C5"/>
    <w:rsid w:val="00682807"/>
    <w:rsid w:val="00682960"/>
    <w:rsid w:val="00682A5B"/>
    <w:rsid w:val="00682B5C"/>
    <w:rsid w:val="00682FB6"/>
    <w:rsid w:val="0068320B"/>
    <w:rsid w:val="0068344F"/>
    <w:rsid w:val="00683A5C"/>
    <w:rsid w:val="00683D21"/>
    <w:rsid w:val="00683D4C"/>
    <w:rsid w:val="00683DA5"/>
    <w:rsid w:val="00683E17"/>
    <w:rsid w:val="00683FB5"/>
    <w:rsid w:val="00684464"/>
    <w:rsid w:val="00684718"/>
    <w:rsid w:val="00684B16"/>
    <w:rsid w:val="00684BC6"/>
    <w:rsid w:val="00684C00"/>
    <w:rsid w:val="00684CB7"/>
    <w:rsid w:val="00684F57"/>
    <w:rsid w:val="00684F9C"/>
    <w:rsid w:val="00684FC1"/>
    <w:rsid w:val="0068505D"/>
    <w:rsid w:val="006852CA"/>
    <w:rsid w:val="006853FC"/>
    <w:rsid w:val="0068546A"/>
    <w:rsid w:val="00685609"/>
    <w:rsid w:val="006856BC"/>
    <w:rsid w:val="0068588A"/>
    <w:rsid w:val="00685C79"/>
    <w:rsid w:val="00685F1C"/>
    <w:rsid w:val="00685F87"/>
    <w:rsid w:val="00685FC9"/>
    <w:rsid w:val="00685FD0"/>
    <w:rsid w:val="00685FE9"/>
    <w:rsid w:val="00686041"/>
    <w:rsid w:val="00686204"/>
    <w:rsid w:val="00686356"/>
    <w:rsid w:val="0068683C"/>
    <w:rsid w:val="0068686D"/>
    <w:rsid w:val="00686972"/>
    <w:rsid w:val="00686B84"/>
    <w:rsid w:val="00686D45"/>
    <w:rsid w:val="00686D9D"/>
    <w:rsid w:val="00686E25"/>
    <w:rsid w:val="00687176"/>
    <w:rsid w:val="006872CC"/>
    <w:rsid w:val="0068731F"/>
    <w:rsid w:val="006873B9"/>
    <w:rsid w:val="006873CE"/>
    <w:rsid w:val="0068763F"/>
    <w:rsid w:val="0068772D"/>
    <w:rsid w:val="00687A08"/>
    <w:rsid w:val="00687B95"/>
    <w:rsid w:val="00687FEF"/>
    <w:rsid w:val="006901E0"/>
    <w:rsid w:val="006901EC"/>
    <w:rsid w:val="00690257"/>
    <w:rsid w:val="0069050C"/>
    <w:rsid w:val="006905A9"/>
    <w:rsid w:val="006906AB"/>
    <w:rsid w:val="006906D9"/>
    <w:rsid w:val="00690772"/>
    <w:rsid w:val="00690869"/>
    <w:rsid w:val="006908C8"/>
    <w:rsid w:val="006909A5"/>
    <w:rsid w:val="00690A8E"/>
    <w:rsid w:val="00690B01"/>
    <w:rsid w:val="00690B58"/>
    <w:rsid w:val="00690D23"/>
    <w:rsid w:val="00690FD5"/>
    <w:rsid w:val="00691330"/>
    <w:rsid w:val="00691531"/>
    <w:rsid w:val="00691555"/>
    <w:rsid w:val="0069155D"/>
    <w:rsid w:val="00691704"/>
    <w:rsid w:val="006918B9"/>
    <w:rsid w:val="00691A92"/>
    <w:rsid w:val="00691B99"/>
    <w:rsid w:val="00691CF3"/>
    <w:rsid w:val="00691E29"/>
    <w:rsid w:val="00691F34"/>
    <w:rsid w:val="00691F83"/>
    <w:rsid w:val="00692098"/>
    <w:rsid w:val="0069220A"/>
    <w:rsid w:val="0069225A"/>
    <w:rsid w:val="00692352"/>
    <w:rsid w:val="0069265E"/>
    <w:rsid w:val="006927AF"/>
    <w:rsid w:val="0069285B"/>
    <w:rsid w:val="00692A0A"/>
    <w:rsid w:val="00692B95"/>
    <w:rsid w:val="00692FF6"/>
    <w:rsid w:val="0069314B"/>
    <w:rsid w:val="006931A8"/>
    <w:rsid w:val="0069326D"/>
    <w:rsid w:val="00693562"/>
    <w:rsid w:val="00693613"/>
    <w:rsid w:val="0069368D"/>
    <w:rsid w:val="00693715"/>
    <w:rsid w:val="0069382B"/>
    <w:rsid w:val="00693A96"/>
    <w:rsid w:val="00693B68"/>
    <w:rsid w:val="00693E59"/>
    <w:rsid w:val="00693F6B"/>
    <w:rsid w:val="006941A3"/>
    <w:rsid w:val="006941EB"/>
    <w:rsid w:val="0069424A"/>
    <w:rsid w:val="00694276"/>
    <w:rsid w:val="006943B7"/>
    <w:rsid w:val="006943EF"/>
    <w:rsid w:val="00694558"/>
    <w:rsid w:val="0069455E"/>
    <w:rsid w:val="00694660"/>
    <w:rsid w:val="006946E4"/>
    <w:rsid w:val="00694930"/>
    <w:rsid w:val="00694CB4"/>
    <w:rsid w:val="00694EE5"/>
    <w:rsid w:val="00694EF4"/>
    <w:rsid w:val="0069528D"/>
    <w:rsid w:val="00695331"/>
    <w:rsid w:val="0069533E"/>
    <w:rsid w:val="006954F2"/>
    <w:rsid w:val="006956F0"/>
    <w:rsid w:val="00695932"/>
    <w:rsid w:val="00695DF2"/>
    <w:rsid w:val="00695F26"/>
    <w:rsid w:val="00696059"/>
    <w:rsid w:val="00696065"/>
    <w:rsid w:val="00696072"/>
    <w:rsid w:val="006960E9"/>
    <w:rsid w:val="00696138"/>
    <w:rsid w:val="006961CF"/>
    <w:rsid w:val="00696531"/>
    <w:rsid w:val="00696A40"/>
    <w:rsid w:val="00696C5A"/>
    <w:rsid w:val="00696C8D"/>
    <w:rsid w:val="00696CD4"/>
    <w:rsid w:val="00696E00"/>
    <w:rsid w:val="0069710D"/>
    <w:rsid w:val="0069714D"/>
    <w:rsid w:val="006971E2"/>
    <w:rsid w:val="006972FD"/>
    <w:rsid w:val="006974FB"/>
    <w:rsid w:val="006976E7"/>
    <w:rsid w:val="00697781"/>
    <w:rsid w:val="00697B44"/>
    <w:rsid w:val="00697D25"/>
    <w:rsid w:val="00697D73"/>
    <w:rsid w:val="00697DB1"/>
    <w:rsid w:val="00697DD3"/>
    <w:rsid w:val="00697E41"/>
    <w:rsid w:val="00697FFC"/>
    <w:rsid w:val="006A055A"/>
    <w:rsid w:val="006A0606"/>
    <w:rsid w:val="006A0957"/>
    <w:rsid w:val="006A0AF6"/>
    <w:rsid w:val="006A0D10"/>
    <w:rsid w:val="006A0F56"/>
    <w:rsid w:val="006A10D7"/>
    <w:rsid w:val="006A1300"/>
    <w:rsid w:val="006A1352"/>
    <w:rsid w:val="006A165A"/>
    <w:rsid w:val="006A16D0"/>
    <w:rsid w:val="006A17AE"/>
    <w:rsid w:val="006A1888"/>
    <w:rsid w:val="006A1AE1"/>
    <w:rsid w:val="006A1BA3"/>
    <w:rsid w:val="006A1E2B"/>
    <w:rsid w:val="006A1EC1"/>
    <w:rsid w:val="006A26BD"/>
    <w:rsid w:val="006A27EC"/>
    <w:rsid w:val="006A286B"/>
    <w:rsid w:val="006A299C"/>
    <w:rsid w:val="006A29E3"/>
    <w:rsid w:val="006A2D4A"/>
    <w:rsid w:val="006A2D85"/>
    <w:rsid w:val="006A2E7E"/>
    <w:rsid w:val="006A2EFC"/>
    <w:rsid w:val="006A303A"/>
    <w:rsid w:val="006A3277"/>
    <w:rsid w:val="006A38DE"/>
    <w:rsid w:val="006A3A52"/>
    <w:rsid w:val="006A3D4C"/>
    <w:rsid w:val="006A3DF0"/>
    <w:rsid w:val="006A41D1"/>
    <w:rsid w:val="006A43A4"/>
    <w:rsid w:val="006A458F"/>
    <w:rsid w:val="006A45B0"/>
    <w:rsid w:val="006A481D"/>
    <w:rsid w:val="006A49EC"/>
    <w:rsid w:val="006A4AA0"/>
    <w:rsid w:val="006A4D7B"/>
    <w:rsid w:val="006A4D8E"/>
    <w:rsid w:val="006A4F03"/>
    <w:rsid w:val="006A517A"/>
    <w:rsid w:val="006A55DB"/>
    <w:rsid w:val="006A566B"/>
    <w:rsid w:val="006A57F1"/>
    <w:rsid w:val="006A588C"/>
    <w:rsid w:val="006A59B0"/>
    <w:rsid w:val="006A59BD"/>
    <w:rsid w:val="006A5B4A"/>
    <w:rsid w:val="006A5C4A"/>
    <w:rsid w:val="006A5C86"/>
    <w:rsid w:val="006A5E2E"/>
    <w:rsid w:val="006A5E4C"/>
    <w:rsid w:val="006A5EFF"/>
    <w:rsid w:val="006A5F9F"/>
    <w:rsid w:val="006A6561"/>
    <w:rsid w:val="006A660B"/>
    <w:rsid w:val="006A667F"/>
    <w:rsid w:val="006A6765"/>
    <w:rsid w:val="006A6843"/>
    <w:rsid w:val="006A68AD"/>
    <w:rsid w:val="006A6B8C"/>
    <w:rsid w:val="006A6C7C"/>
    <w:rsid w:val="006A6D05"/>
    <w:rsid w:val="006A6E77"/>
    <w:rsid w:val="006A6EE7"/>
    <w:rsid w:val="006A7029"/>
    <w:rsid w:val="006A717F"/>
    <w:rsid w:val="006A71D8"/>
    <w:rsid w:val="006A722A"/>
    <w:rsid w:val="006A72DE"/>
    <w:rsid w:val="006A7948"/>
    <w:rsid w:val="006A7A53"/>
    <w:rsid w:val="006A7A85"/>
    <w:rsid w:val="006A7C03"/>
    <w:rsid w:val="006A7C21"/>
    <w:rsid w:val="006B0029"/>
    <w:rsid w:val="006B026D"/>
    <w:rsid w:val="006B03E4"/>
    <w:rsid w:val="006B0402"/>
    <w:rsid w:val="006B0419"/>
    <w:rsid w:val="006B05B1"/>
    <w:rsid w:val="006B069E"/>
    <w:rsid w:val="006B082A"/>
    <w:rsid w:val="006B0985"/>
    <w:rsid w:val="006B09FE"/>
    <w:rsid w:val="006B0CB6"/>
    <w:rsid w:val="006B0F91"/>
    <w:rsid w:val="006B0F98"/>
    <w:rsid w:val="006B0FAF"/>
    <w:rsid w:val="006B117A"/>
    <w:rsid w:val="006B141E"/>
    <w:rsid w:val="006B1568"/>
    <w:rsid w:val="006B1611"/>
    <w:rsid w:val="006B1809"/>
    <w:rsid w:val="006B18C7"/>
    <w:rsid w:val="006B196E"/>
    <w:rsid w:val="006B19BD"/>
    <w:rsid w:val="006B1B2A"/>
    <w:rsid w:val="006B1B68"/>
    <w:rsid w:val="006B1BDB"/>
    <w:rsid w:val="006B1C6C"/>
    <w:rsid w:val="006B1D22"/>
    <w:rsid w:val="006B1DB6"/>
    <w:rsid w:val="006B1DE2"/>
    <w:rsid w:val="006B20E5"/>
    <w:rsid w:val="006B213A"/>
    <w:rsid w:val="006B250A"/>
    <w:rsid w:val="006B2518"/>
    <w:rsid w:val="006B256D"/>
    <w:rsid w:val="006B27BD"/>
    <w:rsid w:val="006B2854"/>
    <w:rsid w:val="006B29E5"/>
    <w:rsid w:val="006B2BC3"/>
    <w:rsid w:val="006B2C06"/>
    <w:rsid w:val="006B2CDE"/>
    <w:rsid w:val="006B2F0C"/>
    <w:rsid w:val="006B2FD0"/>
    <w:rsid w:val="006B306F"/>
    <w:rsid w:val="006B310E"/>
    <w:rsid w:val="006B3179"/>
    <w:rsid w:val="006B3720"/>
    <w:rsid w:val="006B397F"/>
    <w:rsid w:val="006B3A20"/>
    <w:rsid w:val="006B3E3C"/>
    <w:rsid w:val="006B3F4F"/>
    <w:rsid w:val="006B4136"/>
    <w:rsid w:val="006B42A9"/>
    <w:rsid w:val="006B4335"/>
    <w:rsid w:val="006B43D2"/>
    <w:rsid w:val="006B4441"/>
    <w:rsid w:val="006B44F8"/>
    <w:rsid w:val="006B4696"/>
    <w:rsid w:val="006B4B9F"/>
    <w:rsid w:val="006B4C52"/>
    <w:rsid w:val="006B4E0D"/>
    <w:rsid w:val="006B4E1E"/>
    <w:rsid w:val="006B503B"/>
    <w:rsid w:val="006B52A7"/>
    <w:rsid w:val="006B5378"/>
    <w:rsid w:val="006B53C4"/>
    <w:rsid w:val="006B55D3"/>
    <w:rsid w:val="006B56DF"/>
    <w:rsid w:val="006B56E4"/>
    <w:rsid w:val="006B56E7"/>
    <w:rsid w:val="006B5727"/>
    <w:rsid w:val="006B59CE"/>
    <w:rsid w:val="006B59EE"/>
    <w:rsid w:val="006B5B94"/>
    <w:rsid w:val="006B5E12"/>
    <w:rsid w:val="006B5E17"/>
    <w:rsid w:val="006B5F09"/>
    <w:rsid w:val="006B5FE6"/>
    <w:rsid w:val="006B60D6"/>
    <w:rsid w:val="006B6200"/>
    <w:rsid w:val="006B6392"/>
    <w:rsid w:val="006B63ED"/>
    <w:rsid w:val="006B6540"/>
    <w:rsid w:val="006B6546"/>
    <w:rsid w:val="006B6731"/>
    <w:rsid w:val="006B6759"/>
    <w:rsid w:val="006B6A1A"/>
    <w:rsid w:val="006B6ED0"/>
    <w:rsid w:val="006B6F92"/>
    <w:rsid w:val="006B7082"/>
    <w:rsid w:val="006B716C"/>
    <w:rsid w:val="006B754A"/>
    <w:rsid w:val="006B76A2"/>
    <w:rsid w:val="006B771B"/>
    <w:rsid w:val="006B7873"/>
    <w:rsid w:val="006B799D"/>
    <w:rsid w:val="006B79B8"/>
    <w:rsid w:val="006B7A87"/>
    <w:rsid w:val="006B7CAF"/>
    <w:rsid w:val="006B7CC9"/>
    <w:rsid w:val="006B7DCB"/>
    <w:rsid w:val="006C0246"/>
    <w:rsid w:val="006C0620"/>
    <w:rsid w:val="006C0813"/>
    <w:rsid w:val="006C081B"/>
    <w:rsid w:val="006C08EC"/>
    <w:rsid w:val="006C0A02"/>
    <w:rsid w:val="006C0A82"/>
    <w:rsid w:val="006C0B0E"/>
    <w:rsid w:val="006C12A8"/>
    <w:rsid w:val="006C12EC"/>
    <w:rsid w:val="006C1320"/>
    <w:rsid w:val="006C1416"/>
    <w:rsid w:val="006C14C9"/>
    <w:rsid w:val="006C1654"/>
    <w:rsid w:val="006C165F"/>
    <w:rsid w:val="006C16EB"/>
    <w:rsid w:val="006C17A7"/>
    <w:rsid w:val="006C1916"/>
    <w:rsid w:val="006C1A12"/>
    <w:rsid w:val="006C1A70"/>
    <w:rsid w:val="006C1CCF"/>
    <w:rsid w:val="006C1EFB"/>
    <w:rsid w:val="006C2283"/>
    <w:rsid w:val="006C2381"/>
    <w:rsid w:val="006C246A"/>
    <w:rsid w:val="006C2528"/>
    <w:rsid w:val="006C2739"/>
    <w:rsid w:val="006C27C7"/>
    <w:rsid w:val="006C28CA"/>
    <w:rsid w:val="006C29CA"/>
    <w:rsid w:val="006C2E06"/>
    <w:rsid w:val="006C2E88"/>
    <w:rsid w:val="006C3181"/>
    <w:rsid w:val="006C31C6"/>
    <w:rsid w:val="006C339C"/>
    <w:rsid w:val="006C39B0"/>
    <w:rsid w:val="006C3AA9"/>
    <w:rsid w:val="006C3BA0"/>
    <w:rsid w:val="006C3C82"/>
    <w:rsid w:val="006C3CF3"/>
    <w:rsid w:val="006C406A"/>
    <w:rsid w:val="006C4202"/>
    <w:rsid w:val="006C436F"/>
    <w:rsid w:val="006C443B"/>
    <w:rsid w:val="006C444D"/>
    <w:rsid w:val="006C4607"/>
    <w:rsid w:val="006C4816"/>
    <w:rsid w:val="006C4952"/>
    <w:rsid w:val="006C4A51"/>
    <w:rsid w:val="006C50D0"/>
    <w:rsid w:val="006C528F"/>
    <w:rsid w:val="006C54D2"/>
    <w:rsid w:val="006C563D"/>
    <w:rsid w:val="006C564B"/>
    <w:rsid w:val="006C56BC"/>
    <w:rsid w:val="006C5881"/>
    <w:rsid w:val="006C59B1"/>
    <w:rsid w:val="006C5B65"/>
    <w:rsid w:val="006C5C5A"/>
    <w:rsid w:val="006C5CB5"/>
    <w:rsid w:val="006C5E36"/>
    <w:rsid w:val="006C6097"/>
    <w:rsid w:val="006C644D"/>
    <w:rsid w:val="006C65FB"/>
    <w:rsid w:val="006C66AA"/>
    <w:rsid w:val="006C673D"/>
    <w:rsid w:val="006C6B85"/>
    <w:rsid w:val="006C6F4D"/>
    <w:rsid w:val="006C6FEC"/>
    <w:rsid w:val="006C7047"/>
    <w:rsid w:val="006C7051"/>
    <w:rsid w:val="006C7156"/>
    <w:rsid w:val="006C71A3"/>
    <w:rsid w:val="006C727B"/>
    <w:rsid w:val="006C72F5"/>
    <w:rsid w:val="006C73AE"/>
    <w:rsid w:val="006C75D3"/>
    <w:rsid w:val="006C75F0"/>
    <w:rsid w:val="006C773E"/>
    <w:rsid w:val="006C7754"/>
    <w:rsid w:val="006C779C"/>
    <w:rsid w:val="006C79C6"/>
    <w:rsid w:val="006C7A58"/>
    <w:rsid w:val="006C7B35"/>
    <w:rsid w:val="006C7D5A"/>
    <w:rsid w:val="006C7E4F"/>
    <w:rsid w:val="006D0195"/>
    <w:rsid w:val="006D055A"/>
    <w:rsid w:val="006D06B8"/>
    <w:rsid w:val="006D0753"/>
    <w:rsid w:val="006D0891"/>
    <w:rsid w:val="006D08D9"/>
    <w:rsid w:val="006D0A3D"/>
    <w:rsid w:val="006D0BFA"/>
    <w:rsid w:val="006D0F1C"/>
    <w:rsid w:val="006D13BA"/>
    <w:rsid w:val="006D13CF"/>
    <w:rsid w:val="006D145D"/>
    <w:rsid w:val="006D156D"/>
    <w:rsid w:val="006D175D"/>
    <w:rsid w:val="006D1835"/>
    <w:rsid w:val="006D18BC"/>
    <w:rsid w:val="006D1972"/>
    <w:rsid w:val="006D1CB7"/>
    <w:rsid w:val="006D1E30"/>
    <w:rsid w:val="006D1ECF"/>
    <w:rsid w:val="006D2195"/>
    <w:rsid w:val="006D243C"/>
    <w:rsid w:val="006D2472"/>
    <w:rsid w:val="006D2486"/>
    <w:rsid w:val="006D259C"/>
    <w:rsid w:val="006D26F3"/>
    <w:rsid w:val="006D2A00"/>
    <w:rsid w:val="006D2D11"/>
    <w:rsid w:val="006D2E30"/>
    <w:rsid w:val="006D2F79"/>
    <w:rsid w:val="006D3056"/>
    <w:rsid w:val="006D308B"/>
    <w:rsid w:val="006D3291"/>
    <w:rsid w:val="006D32A1"/>
    <w:rsid w:val="006D33A8"/>
    <w:rsid w:val="006D33D8"/>
    <w:rsid w:val="006D364D"/>
    <w:rsid w:val="006D366D"/>
    <w:rsid w:val="006D36BF"/>
    <w:rsid w:val="006D36C5"/>
    <w:rsid w:val="006D3965"/>
    <w:rsid w:val="006D3966"/>
    <w:rsid w:val="006D39C6"/>
    <w:rsid w:val="006D3CE2"/>
    <w:rsid w:val="006D3E78"/>
    <w:rsid w:val="006D3EB6"/>
    <w:rsid w:val="006D4263"/>
    <w:rsid w:val="006D4357"/>
    <w:rsid w:val="006D4454"/>
    <w:rsid w:val="006D44C5"/>
    <w:rsid w:val="006D450E"/>
    <w:rsid w:val="006D47DF"/>
    <w:rsid w:val="006D4826"/>
    <w:rsid w:val="006D4D48"/>
    <w:rsid w:val="006D4F8C"/>
    <w:rsid w:val="006D502D"/>
    <w:rsid w:val="006D5207"/>
    <w:rsid w:val="006D5351"/>
    <w:rsid w:val="006D5391"/>
    <w:rsid w:val="006D53C5"/>
    <w:rsid w:val="006D5529"/>
    <w:rsid w:val="006D5726"/>
    <w:rsid w:val="006D57CA"/>
    <w:rsid w:val="006D5A6F"/>
    <w:rsid w:val="006D5AC8"/>
    <w:rsid w:val="006D5BC5"/>
    <w:rsid w:val="006D5C55"/>
    <w:rsid w:val="006D5DA3"/>
    <w:rsid w:val="006D5E7A"/>
    <w:rsid w:val="006D600D"/>
    <w:rsid w:val="006D6446"/>
    <w:rsid w:val="006D6583"/>
    <w:rsid w:val="006D65A8"/>
    <w:rsid w:val="006D6694"/>
    <w:rsid w:val="006D67D9"/>
    <w:rsid w:val="006D680F"/>
    <w:rsid w:val="006D69D8"/>
    <w:rsid w:val="006D6A2C"/>
    <w:rsid w:val="006D6A49"/>
    <w:rsid w:val="006D6AEA"/>
    <w:rsid w:val="006D6B20"/>
    <w:rsid w:val="006D6BD2"/>
    <w:rsid w:val="006D6C8A"/>
    <w:rsid w:val="006D6C94"/>
    <w:rsid w:val="006D6D0C"/>
    <w:rsid w:val="006D6F1B"/>
    <w:rsid w:val="006D700F"/>
    <w:rsid w:val="006D70CA"/>
    <w:rsid w:val="006D70DF"/>
    <w:rsid w:val="006D721C"/>
    <w:rsid w:val="006D72A6"/>
    <w:rsid w:val="006D7513"/>
    <w:rsid w:val="006D7743"/>
    <w:rsid w:val="006D777B"/>
    <w:rsid w:val="006D77F0"/>
    <w:rsid w:val="006D78C1"/>
    <w:rsid w:val="006D7949"/>
    <w:rsid w:val="006D7A35"/>
    <w:rsid w:val="006D7BEB"/>
    <w:rsid w:val="006D7D62"/>
    <w:rsid w:val="006D7E0A"/>
    <w:rsid w:val="006E00C0"/>
    <w:rsid w:val="006E03AD"/>
    <w:rsid w:val="006E0422"/>
    <w:rsid w:val="006E0802"/>
    <w:rsid w:val="006E08A2"/>
    <w:rsid w:val="006E0A8B"/>
    <w:rsid w:val="006E0B20"/>
    <w:rsid w:val="006E0C95"/>
    <w:rsid w:val="006E0CB9"/>
    <w:rsid w:val="006E0D15"/>
    <w:rsid w:val="006E0D55"/>
    <w:rsid w:val="006E0D8D"/>
    <w:rsid w:val="006E0E60"/>
    <w:rsid w:val="006E1007"/>
    <w:rsid w:val="006E100B"/>
    <w:rsid w:val="006E1071"/>
    <w:rsid w:val="006E1295"/>
    <w:rsid w:val="006E140E"/>
    <w:rsid w:val="006E141C"/>
    <w:rsid w:val="006E163A"/>
    <w:rsid w:val="006E16BC"/>
    <w:rsid w:val="006E1737"/>
    <w:rsid w:val="006E1B0F"/>
    <w:rsid w:val="006E1B5A"/>
    <w:rsid w:val="006E1D80"/>
    <w:rsid w:val="006E1E22"/>
    <w:rsid w:val="006E1E80"/>
    <w:rsid w:val="006E1F7B"/>
    <w:rsid w:val="006E2002"/>
    <w:rsid w:val="006E2244"/>
    <w:rsid w:val="006E234A"/>
    <w:rsid w:val="006E2459"/>
    <w:rsid w:val="006E2523"/>
    <w:rsid w:val="006E2A01"/>
    <w:rsid w:val="006E2A43"/>
    <w:rsid w:val="006E2B76"/>
    <w:rsid w:val="006E2D8A"/>
    <w:rsid w:val="006E2E07"/>
    <w:rsid w:val="006E2F58"/>
    <w:rsid w:val="006E3045"/>
    <w:rsid w:val="006E31D4"/>
    <w:rsid w:val="006E3295"/>
    <w:rsid w:val="006E32E7"/>
    <w:rsid w:val="006E34A9"/>
    <w:rsid w:val="006E382A"/>
    <w:rsid w:val="006E3C56"/>
    <w:rsid w:val="006E3CE7"/>
    <w:rsid w:val="006E3D9A"/>
    <w:rsid w:val="006E3EE9"/>
    <w:rsid w:val="006E408C"/>
    <w:rsid w:val="006E42F1"/>
    <w:rsid w:val="006E44A4"/>
    <w:rsid w:val="006E4548"/>
    <w:rsid w:val="006E458D"/>
    <w:rsid w:val="006E46AB"/>
    <w:rsid w:val="006E4706"/>
    <w:rsid w:val="006E4773"/>
    <w:rsid w:val="006E47B6"/>
    <w:rsid w:val="006E48CB"/>
    <w:rsid w:val="006E4977"/>
    <w:rsid w:val="006E49C8"/>
    <w:rsid w:val="006E4A2D"/>
    <w:rsid w:val="006E4A9D"/>
    <w:rsid w:val="006E4AF4"/>
    <w:rsid w:val="006E4C4A"/>
    <w:rsid w:val="006E4CC6"/>
    <w:rsid w:val="006E502C"/>
    <w:rsid w:val="006E50FB"/>
    <w:rsid w:val="006E524B"/>
    <w:rsid w:val="006E55A4"/>
    <w:rsid w:val="006E56AC"/>
    <w:rsid w:val="006E584F"/>
    <w:rsid w:val="006E597D"/>
    <w:rsid w:val="006E59D9"/>
    <w:rsid w:val="006E5A10"/>
    <w:rsid w:val="006E5A16"/>
    <w:rsid w:val="006E5BF6"/>
    <w:rsid w:val="006E5D7F"/>
    <w:rsid w:val="006E5E42"/>
    <w:rsid w:val="006E5F22"/>
    <w:rsid w:val="006E5F58"/>
    <w:rsid w:val="006E60D5"/>
    <w:rsid w:val="006E631F"/>
    <w:rsid w:val="006E6418"/>
    <w:rsid w:val="006E6670"/>
    <w:rsid w:val="006E67B2"/>
    <w:rsid w:val="006E6988"/>
    <w:rsid w:val="006E6B1B"/>
    <w:rsid w:val="006E6BAA"/>
    <w:rsid w:val="006E6D51"/>
    <w:rsid w:val="006E6FED"/>
    <w:rsid w:val="006E709A"/>
    <w:rsid w:val="006E73C6"/>
    <w:rsid w:val="006E752C"/>
    <w:rsid w:val="006E7556"/>
    <w:rsid w:val="006E76D1"/>
    <w:rsid w:val="006E7746"/>
    <w:rsid w:val="006E777D"/>
    <w:rsid w:val="006E77AD"/>
    <w:rsid w:val="006E77EE"/>
    <w:rsid w:val="006E7DAE"/>
    <w:rsid w:val="006E7FC0"/>
    <w:rsid w:val="006F022A"/>
    <w:rsid w:val="006F0311"/>
    <w:rsid w:val="006F0373"/>
    <w:rsid w:val="006F0443"/>
    <w:rsid w:val="006F045C"/>
    <w:rsid w:val="006F0650"/>
    <w:rsid w:val="006F06CE"/>
    <w:rsid w:val="006F0841"/>
    <w:rsid w:val="006F0A63"/>
    <w:rsid w:val="006F0C4C"/>
    <w:rsid w:val="006F0C70"/>
    <w:rsid w:val="006F0D28"/>
    <w:rsid w:val="006F0D5E"/>
    <w:rsid w:val="006F0DE2"/>
    <w:rsid w:val="006F0DE3"/>
    <w:rsid w:val="006F0E9F"/>
    <w:rsid w:val="006F10DF"/>
    <w:rsid w:val="006F12A8"/>
    <w:rsid w:val="006F131B"/>
    <w:rsid w:val="006F14C0"/>
    <w:rsid w:val="006F1589"/>
    <w:rsid w:val="006F1723"/>
    <w:rsid w:val="006F1BF8"/>
    <w:rsid w:val="006F1FAB"/>
    <w:rsid w:val="006F21D3"/>
    <w:rsid w:val="006F2330"/>
    <w:rsid w:val="006F27D6"/>
    <w:rsid w:val="006F2AEB"/>
    <w:rsid w:val="006F2B7F"/>
    <w:rsid w:val="006F2D26"/>
    <w:rsid w:val="006F2D5B"/>
    <w:rsid w:val="006F2F40"/>
    <w:rsid w:val="006F3108"/>
    <w:rsid w:val="006F32BD"/>
    <w:rsid w:val="006F3350"/>
    <w:rsid w:val="006F3387"/>
    <w:rsid w:val="006F3523"/>
    <w:rsid w:val="006F3546"/>
    <w:rsid w:val="006F3559"/>
    <w:rsid w:val="006F364B"/>
    <w:rsid w:val="006F3A20"/>
    <w:rsid w:val="006F3A84"/>
    <w:rsid w:val="006F3F4A"/>
    <w:rsid w:val="006F413E"/>
    <w:rsid w:val="006F431B"/>
    <w:rsid w:val="006F46E7"/>
    <w:rsid w:val="006F4A5C"/>
    <w:rsid w:val="006F4B6A"/>
    <w:rsid w:val="006F4BDA"/>
    <w:rsid w:val="006F4CC9"/>
    <w:rsid w:val="006F4E42"/>
    <w:rsid w:val="006F5305"/>
    <w:rsid w:val="006F543B"/>
    <w:rsid w:val="006F551F"/>
    <w:rsid w:val="006F5521"/>
    <w:rsid w:val="006F59F9"/>
    <w:rsid w:val="006F5CEF"/>
    <w:rsid w:val="006F5D54"/>
    <w:rsid w:val="006F5E20"/>
    <w:rsid w:val="006F5E71"/>
    <w:rsid w:val="006F5F07"/>
    <w:rsid w:val="006F601C"/>
    <w:rsid w:val="006F60DE"/>
    <w:rsid w:val="006F6326"/>
    <w:rsid w:val="006F63B2"/>
    <w:rsid w:val="006F6481"/>
    <w:rsid w:val="006F6632"/>
    <w:rsid w:val="006F6D20"/>
    <w:rsid w:val="006F6E14"/>
    <w:rsid w:val="006F6EF7"/>
    <w:rsid w:val="006F6F16"/>
    <w:rsid w:val="006F70C6"/>
    <w:rsid w:val="006F7115"/>
    <w:rsid w:val="006F7167"/>
    <w:rsid w:val="006F7244"/>
    <w:rsid w:val="006F72E1"/>
    <w:rsid w:val="006F7342"/>
    <w:rsid w:val="006F743F"/>
    <w:rsid w:val="006F7587"/>
    <w:rsid w:val="006F75D6"/>
    <w:rsid w:val="006F7915"/>
    <w:rsid w:val="006F7981"/>
    <w:rsid w:val="006F7E53"/>
    <w:rsid w:val="006F7F8A"/>
    <w:rsid w:val="0070000B"/>
    <w:rsid w:val="007001DC"/>
    <w:rsid w:val="00700298"/>
    <w:rsid w:val="00700321"/>
    <w:rsid w:val="0070037A"/>
    <w:rsid w:val="007003C2"/>
    <w:rsid w:val="00700451"/>
    <w:rsid w:val="00700975"/>
    <w:rsid w:val="007009A7"/>
    <w:rsid w:val="00700AAC"/>
    <w:rsid w:val="00700B67"/>
    <w:rsid w:val="00700E71"/>
    <w:rsid w:val="00700FF8"/>
    <w:rsid w:val="0070110E"/>
    <w:rsid w:val="00701189"/>
    <w:rsid w:val="007011E2"/>
    <w:rsid w:val="00701290"/>
    <w:rsid w:val="00701674"/>
    <w:rsid w:val="007016E0"/>
    <w:rsid w:val="00701702"/>
    <w:rsid w:val="00701886"/>
    <w:rsid w:val="00701912"/>
    <w:rsid w:val="00701C18"/>
    <w:rsid w:val="00701DA1"/>
    <w:rsid w:val="00701DD3"/>
    <w:rsid w:val="00701E1E"/>
    <w:rsid w:val="00701EC3"/>
    <w:rsid w:val="00702081"/>
    <w:rsid w:val="007022BB"/>
    <w:rsid w:val="007022D0"/>
    <w:rsid w:val="00702439"/>
    <w:rsid w:val="0070246C"/>
    <w:rsid w:val="00702767"/>
    <w:rsid w:val="00702996"/>
    <w:rsid w:val="00702B11"/>
    <w:rsid w:val="00702E84"/>
    <w:rsid w:val="00703049"/>
    <w:rsid w:val="0070337D"/>
    <w:rsid w:val="007034C4"/>
    <w:rsid w:val="007035EC"/>
    <w:rsid w:val="007036C2"/>
    <w:rsid w:val="007037DB"/>
    <w:rsid w:val="00703A8D"/>
    <w:rsid w:val="00703B2F"/>
    <w:rsid w:val="00703D54"/>
    <w:rsid w:val="00703E47"/>
    <w:rsid w:val="00703F6E"/>
    <w:rsid w:val="00703FEE"/>
    <w:rsid w:val="00704036"/>
    <w:rsid w:val="0070431D"/>
    <w:rsid w:val="0070439D"/>
    <w:rsid w:val="007043E7"/>
    <w:rsid w:val="007044BC"/>
    <w:rsid w:val="0070484D"/>
    <w:rsid w:val="00704953"/>
    <w:rsid w:val="007049CC"/>
    <w:rsid w:val="00704ABF"/>
    <w:rsid w:val="00704ADE"/>
    <w:rsid w:val="00704B76"/>
    <w:rsid w:val="0070527B"/>
    <w:rsid w:val="007056D3"/>
    <w:rsid w:val="0070582A"/>
    <w:rsid w:val="0070585E"/>
    <w:rsid w:val="007058A7"/>
    <w:rsid w:val="007058C9"/>
    <w:rsid w:val="00705C8E"/>
    <w:rsid w:val="00705DE8"/>
    <w:rsid w:val="00706078"/>
    <w:rsid w:val="007061EE"/>
    <w:rsid w:val="007062EF"/>
    <w:rsid w:val="007062F3"/>
    <w:rsid w:val="00706347"/>
    <w:rsid w:val="00706363"/>
    <w:rsid w:val="0070636A"/>
    <w:rsid w:val="00706373"/>
    <w:rsid w:val="00706597"/>
    <w:rsid w:val="00706611"/>
    <w:rsid w:val="0070675A"/>
    <w:rsid w:val="007067F0"/>
    <w:rsid w:val="00706A70"/>
    <w:rsid w:val="00706AAF"/>
    <w:rsid w:val="00706F03"/>
    <w:rsid w:val="0070700E"/>
    <w:rsid w:val="0070737F"/>
    <w:rsid w:val="00707492"/>
    <w:rsid w:val="0070756A"/>
    <w:rsid w:val="007075A3"/>
    <w:rsid w:val="007075B3"/>
    <w:rsid w:val="007075CF"/>
    <w:rsid w:val="00707635"/>
    <w:rsid w:val="007076FC"/>
    <w:rsid w:val="0070783E"/>
    <w:rsid w:val="00707B1A"/>
    <w:rsid w:val="00707BCD"/>
    <w:rsid w:val="00707BD9"/>
    <w:rsid w:val="00707C6B"/>
    <w:rsid w:val="00707DAA"/>
    <w:rsid w:val="00707E27"/>
    <w:rsid w:val="00707E60"/>
    <w:rsid w:val="00707F08"/>
    <w:rsid w:val="00707FA7"/>
    <w:rsid w:val="00710006"/>
    <w:rsid w:val="00710064"/>
    <w:rsid w:val="0071011C"/>
    <w:rsid w:val="00710145"/>
    <w:rsid w:val="00710384"/>
    <w:rsid w:val="00710386"/>
    <w:rsid w:val="00710479"/>
    <w:rsid w:val="007105EE"/>
    <w:rsid w:val="0071062B"/>
    <w:rsid w:val="007107BE"/>
    <w:rsid w:val="0071085C"/>
    <w:rsid w:val="00710A4A"/>
    <w:rsid w:val="00710BDC"/>
    <w:rsid w:val="00710CFC"/>
    <w:rsid w:val="00710DF0"/>
    <w:rsid w:val="00711035"/>
    <w:rsid w:val="007110C3"/>
    <w:rsid w:val="00711232"/>
    <w:rsid w:val="0071124F"/>
    <w:rsid w:val="0071131B"/>
    <w:rsid w:val="007113A4"/>
    <w:rsid w:val="007113E5"/>
    <w:rsid w:val="007117EA"/>
    <w:rsid w:val="00711886"/>
    <w:rsid w:val="007118BB"/>
    <w:rsid w:val="00711A8E"/>
    <w:rsid w:val="00711B1A"/>
    <w:rsid w:val="00711F1B"/>
    <w:rsid w:val="00711F9D"/>
    <w:rsid w:val="00711FA4"/>
    <w:rsid w:val="0071220C"/>
    <w:rsid w:val="0071234C"/>
    <w:rsid w:val="0071255D"/>
    <w:rsid w:val="0071266C"/>
    <w:rsid w:val="00712897"/>
    <w:rsid w:val="007128D6"/>
    <w:rsid w:val="007128E9"/>
    <w:rsid w:val="007128EA"/>
    <w:rsid w:val="007129CC"/>
    <w:rsid w:val="007129EA"/>
    <w:rsid w:val="00712A5C"/>
    <w:rsid w:val="00712B61"/>
    <w:rsid w:val="00712C75"/>
    <w:rsid w:val="00712C97"/>
    <w:rsid w:val="00712CAB"/>
    <w:rsid w:val="00712CC3"/>
    <w:rsid w:val="00712E8A"/>
    <w:rsid w:val="00712F4A"/>
    <w:rsid w:val="00712F9D"/>
    <w:rsid w:val="00712FB9"/>
    <w:rsid w:val="00713040"/>
    <w:rsid w:val="00713116"/>
    <w:rsid w:val="007132B2"/>
    <w:rsid w:val="007132BF"/>
    <w:rsid w:val="007133BB"/>
    <w:rsid w:val="00713533"/>
    <w:rsid w:val="00713721"/>
    <w:rsid w:val="00713755"/>
    <w:rsid w:val="007138F7"/>
    <w:rsid w:val="0071396E"/>
    <w:rsid w:val="00713A02"/>
    <w:rsid w:val="00713A25"/>
    <w:rsid w:val="00713A45"/>
    <w:rsid w:val="00713BDE"/>
    <w:rsid w:val="00713D55"/>
    <w:rsid w:val="00713F78"/>
    <w:rsid w:val="00714150"/>
    <w:rsid w:val="00714780"/>
    <w:rsid w:val="00714804"/>
    <w:rsid w:val="0071483E"/>
    <w:rsid w:val="007149BC"/>
    <w:rsid w:val="007149C0"/>
    <w:rsid w:val="007149E1"/>
    <w:rsid w:val="00714A2D"/>
    <w:rsid w:val="00714B04"/>
    <w:rsid w:val="00714E70"/>
    <w:rsid w:val="00715007"/>
    <w:rsid w:val="007151CB"/>
    <w:rsid w:val="0071537E"/>
    <w:rsid w:val="00715410"/>
    <w:rsid w:val="0071554B"/>
    <w:rsid w:val="00715782"/>
    <w:rsid w:val="007157D4"/>
    <w:rsid w:val="00715861"/>
    <w:rsid w:val="007158D1"/>
    <w:rsid w:val="00715A30"/>
    <w:rsid w:val="00715A85"/>
    <w:rsid w:val="00715C94"/>
    <w:rsid w:val="00715DBD"/>
    <w:rsid w:val="00715EC4"/>
    <w:rsid w:val="00715F07"/>
    <w:rsid w:val="00715F45"/>
    <w:rsid w:val="00716036"/>
    <w:rsid w:val="0071605D"/>
    <w:rsid w:val="0071606A"/>
    <w:rsid w:val="00716308"/>
    <w:rsid w:val="007163FE"/>
    <w:rsid w:val="00716777"/>
    <w:rsid w:val="007167DD"/>
    <w:rsid w:val="00716BC7"/>
    <w:rsid w:val="00716DB0"/>
    <w:rsid w:val="00716F95"/>
    <w:rsid w:val="00717011"/>
    <w:rsid w:val="007170E5"/>
    <w:rsid w:val="00717167"/>
    <w:rsid w:val="00717356"/>
    <w:rsid w:val="00717544"/>
    <w:rsid w:val="007176C2"/>
    <w:rsid w:val="0071798B"/>
    <w:rsid w:val="007179EB"/>
    <w:rsid w:val="00717BB1"/>
    <w:rsid w:val="00717E4B"/>
    <w:rsid w:val="00717E7E"/>
    <w:rsid w:val="00717EE5"/>
    <w:rsid w:val="00717FA0"/>
    <w:rsid w:val="007201A0"/>
    <w:rsid w:val="007203A2"/>
    <w:rsid w:val="007203A5"/>
    <w:rsid w:val="00720447"/>
    <w:rsid w:val="007204A7"/>
    <w:rsid w:val="00720659"/>
    <w:rsid w:val="00720736"/>
    <w:rsid w:val="00720773"/>
    <w:rsid w:val="00720775"/>
    <w:rsid w:val="00720839"/>
    <w:rsid w:val="0072083E"/>
    <w:rsid w:val="00720E0E"/>
    <w:rsid w:val="007210DC"/>
    <w:rsid w:val="00721235"/>
    <w:rsid w:val="007212B2"/>
    <w:rsid w:val="007217C9"/>
    <w:rsid w:val="00721BCF"/>
    <w:rsid w:val="00721C96"/>
    <w:rsid w:val="00722005"/>
    <w:rsid w:val="00722015"/>
    <w:rsid w:val="0072218B"/>
    <w:rsid w:val="00722663"/>
    <w:rsid w:val="0072275F"/>
    <w:rsid w:val="00722802"/>
    <w:rsid w:val="007228D7"/>
    <w:rsid w:val="0072298C"/>
    <w:rsid w:val="00722EFD"/>
    <w:rsid w:val="00722F0D"/>
    <w:rsid w:val="00723567"/>
    <w:rsid w:val="007235EC"/>
    <w:rsid w:val="007237A1"/>
    <w:rsid w:val="007237B5"/>
    <w:rsid w:val="00723B2C"/>
    <w:rsid w:val="00723C54"/>
    <w:rsid w:val="00723D7F"/>
    <w:rsid w:val="00723E2E"/>
    <w:rsid w:val="00723EAD"/>
    <w:rsid w:val="00723F6B"/>
    <w:rsid w:val="00724176"/>
    <w:rsid w:val="00724365"/>
    <w:rsid w:val="00724451"/>
    <w:rsid w:val="00724525"/>
    <w:rsid w:val="00724BF9"/>
    <w:rsid w:val="00724EDA"/>
    <w:rsid w:val="00724FCA"/>
    <w:rsid w:val="00724FF3"/>
    <w:rsid w:val="0072505C"/>
    <w:rsid w:val="007250D2"/>
    <w:rsid w:val="007250ED"/>
    <w:rsid w:val="0072525B"/>
    <w:rsid w:val="007252FF"/>
    <w:rsid w:val="0072546D"/>
    <w:rsid w:val="007255B5"/>
    <w:rsid w:val="007255C0"/>
    <w:rsid w:val="00725664"/>
    <w:rsid w:val="007256B7"/>
    <w:rsid w:val="007259D6"/>
    <w:rsid w:val="00725A9B"/>
    <w:rsid w:val="00725AEF"/>
    <w:rsid w:val="00725CEB"/>
    <w:rsid w:val="00725E73"/>
    <w:rsid w:val="00725F60"/>
    <w:rsid w:val="007263F4"/>
    <w:rsid w:val="00726458"/>
    <w:rsid w:val="00726483"/>
    <w:rsid w:val="00726488"/>
    <w:rsid w:val="0072654E"/>
    <w:rsid w:val="0072657D"/>
    <w:rsid w:val="00726A01"/>
    <w:rsid w:val="00726BCE"/>
    <w:rsid w:val="00726E5C"/>
    <w:rsid w:val="00726ED6"/>
    <w:rsid w:val="00726EFA"/>
    <w:rsid w:val="00726EFB"/>
    <w:rsid w:val="00726FDD"/>
    <w:rsid w:val="00727065"/>
    <w:rsid w:val="00727307"/>
    <w:rsid w:val="007274D2"/>
    <w:rsid w:val="007275B7"/>
    <w:rsid w:val="00727712"/>
    <w:rsid w:val="00727911"/>
    <w:rsid w:val="00727B19"/>
    <w:rsid w:val="00727B76"/>
    <w:rsid w:val="00727C83"/>
    <w:rsid w:val="00727E24"/>
    <w:rsid w:val="00727E8D"/>
    <w:rsid w:val="00727F62"/>
    <w:rsid w:val="0073046C"/>
    <w:rsid w:val="007305B7"/>
    <w:rsid w:val="007307AE"/>
    <w:rsid w:val="007308EE"/>
    <w:rsid w:val="00730933"/>
    <w:rsid w:val="00730CBB"/>
    <w:rsid w:val="00730DE1"/>
    <w:rsid w:val="00730EE8"/>
    <w:rsid w:val="00731003"/>
    <w:rsid w:val="0073104E"/>
    <w:rsid w:val="00731067"/>
    <w:rsid w:val="007312FE"/>
    <w:rsid w:val="00731307"/>
    <w:rsid w:val="00731369"/>
    <w:rsid w:val="007317DA"/>
    <w:rsid w:val="00731911"/>
    <w:rsid w:val="00731AD4"/>
    <w:rsid w:val="00731BE5"/>
    <w:rsid w:val="00731C85"/>
    <w:rsid w:val="00731DBF"/>
    <w:rsid w:val="0073208E"/>
    <w:rsid w:val="00732293"/>
    <w:rsid w:val="007323F9"/>
    <w:rsid w:val="00732488"/>
    <w:rsid w:val="0073252D"/>
    <w:rsid w:val="007326B4"/>
    <w:rsid w:val="007327F2"/>
    <w:rsid w:val="00732C18"/>
    <w:rsid w:val="00732F18"/>
    <w:rsid w:val="00732F32"/>
    <w:rsid w:val="0073301A"/>
    <w:rsid w:val="00733060"/>
    <w:rsid w:val="00733074"/>
    <w:rsid w:val="00733133"/>
    <w:rsid w:val="00733162"/>
    <w:rsid w:val="00733380"/>
    <w:rsid w:val="007333A7"/>
    <w:rsid w:val="007333AD"/>
    <w:rsid w:val="007333C0"/>
    <w:rsid w:val="007335CB"/>
    <w:rsid w:val="00733618"/>
    <w:rsid w:val="007339D8"/>
    <w:rsid w:val="00733AC9"/>
    <w:rsid w:val="00733CF2"/>
    <w:rsid w:val="00733D1B"/>
    <w:rsid w:val="00733DE3"/>
    <w:rsid w:val="00733E76"/>
    <w:rsid w:val="00733F20"/>
    <w:rsid w:val="00733F37"/>
    <w:rsid w:val="00733F84"/>
    <w:rsid w:val="00734038"/>
    <w:rsid w:val="007341DD"/>
    <w:rsid w:val="00734292"/>
    <w:rsid w:val="0073476C"/>
    <w:rsid w:val="0073479C"/>
    <w:rsid w:val="007348BA"/>
    <w:rsid w:val="007349AE"/>
    <w:rsid w:val="00734BBD"/>
    <w:rsid w:val="00734D28"/>
    <w:rsid w:val="00734E14"/>
    <w:rsid w:val="007350FB"/>
    <w:rsid w:val="0073518E"/>
    <w:rsid w:val="007352C6"/>
    <w:rsid w:val="007354C9"/>
    <w:rsid w:val="007354E4"/>
    <w:rsid w:val="007359A9"/>
    <w:rsid w:val="00735E18"/>
    <w:rsid w:val="00735F71"/>
    <w:rsid w:val="00735FFE"/>
    <w:rsid w:val="00736012"/>
    <w:rsid w:val="0073619B"/>
    <w:rsid w:val="007362F4"/>
    <w:rsid w:val="007363C1"/>
    <w:rsid w:val="00736469"/>
    <w:rsid w:val="0073646F"/>
    <w:rsid w:val="00736518"/>
    <w:rsid w:val="0073657C"/>
    <w:rsid w:val="0073672C"/>
    <w:rsid w:val="00736944"/>
    <w:rsid w:val="00736C35"/>
    <w:rsid w:val="00736C36"/>
    <w:rsid w:val="00736E3D"/>
    <w:rsid w:val="00736FDD"/>
    <w:rsid w:val="0073700F"/>
    <w:rsid w:val="00737539"/>
    <w:rsid w:val="00737622"/>
    <w:rsid w:val="00737660"/>
    <w:rsid w:val="00737676"/>
    <w:rsid w:val="007376B6"/>
    <w:rsid w:val="00737835"/>
    <w:rsid w:val="00737B23"/>
    <w:rsid w:val="00737C95"/>
    <w:rsid w:val="00737E39"/>
    <w:rsid w:val="00737EC1"/>
    <w:rsid w:val="00737F58"/>
    <w:rsid w:val="007402D5"/>
    <w:rsid w:val="007405AD"/>
    <w:rsid w:val="007405E8"/>
    <w:rsid w:val="0074079C"/>
    <w:rsid w:val="00740893"/>
    <w:rsid w:val="0074099E"/>
    <w:rsid w:val="00740A41"/>
    <w:rsid w:val="00740B5A"/>
    <w:rsid w:val="00740B82"/>
    <w:rsid w:val="00740BD3"/>
    <w:rsid w:val="00740E0C"/>
    <w:rsid w:val="00740F25"/>
    <w:rsid w:val="0074108D"/>
    <w:rsid w:val="00741235"/>
    <w:rsid w:val="0074127A"/>
    <w:rsid w:val="007414C8"/>
    <w:rsid w:val="0074166F"/>
    <w:rsid w:val="007416BF"/>
    <w:rsid w:val="0074187C"/>
    <w:rsid w:val="007418D5"/>
    <w:rsid w:val="007418E7"/>
    <w:rsid w:val="007420F0"/>
    <w:rsid w:val="007426F3"/>
    <w:rsid w:val="00742715"/>
    <w:rsid w:val="007427E4"/>
    <w:rsid w:val="00742A42"/>
    <w:rsid w:val="00742B51"/>
    <w:rsid w:val="00742C01"/>
    <w:rsid w:val="00742D6B"/>
    <w:rsid w:val="00742DC2"/>
    <w:rsid w:val="00742E32"/>
    <w:rsid w:val="00742E80"/>
    <w:rsid w:val="00742EB9"/>
    <w:rsid w:val="00743202"/>
    <w:rsid w:val="0074365E"/>
    <w:rsid w:val="00743717"/>
    <w:rsid w:val="0074399C"/>
    <w:rsid w:val="007439D9"/>
    <w:rsid w:val="00743A3B"/>
    <w:rsid w:val="00743C53"/>
    <w:rsid w:val="00743CB4"/>
    <w:rsid w:val="00743CD6"/>
    <w:rsid w:val="00743E6A"/>
    <w:rsid w:val="00744004"/>
    <w:rsid w:val="00744007"/>
    <w:rsid w:val="0074408C"/>
    <w:rsid w:val="007441A7"/>
    <w:rsid w:val="0074434E"/>
    <w:rsid w:val="00744AE6"/>
    <w:rsid w:val="00744D36"/>
    <w:rsid w:val="00744E7A"/>
    <w:rsid w:val="00744FE2"/>
    <w:rsid w:val="00745018"/>
    <w:rsid w:val="0074530E"/>
    <w:rsid w:val="007453E9"/>
    <w:rsid w:val="007454C3"/>
    <w:rsid w:val="007456F5"/>
    <w:rsid w:val="00745732"/>
    <w:rsid w:val="007459F1"/>
    <w:rsid w:val="00745B54"/>
    <w:rsid w:val="00745D09"/>
    <w:rsid w:val="007460F5"/>
    <w:rsid w:val="00746225"/>
    <w:rsid w:val="007462E5"/>
    <w:rsid w:val="007463E3"/>
    <w:rsid w:val="0074644E"/>
    <w:rsid w:val="0074660C"/>
    <w:rsid w:val="007466B2"/>
    <w:rsid w:val="007466CC"/>
    <w:rsid w:val="007467DA"/>
    <w:rsid w:val="00746910"/>
    <w:rsid w:val="007469FF"/>
    <w:rsid w:val="00746A02"/>
    <w:rsid w:val="00746A87"/>
    <w:rsid w:val="00746C96"/>
    <w:rsid w:val="00746D6B"/>
    <w:rsid w:val="007470CF"/>
    <w:rsid w:val="00747290"/>
    <w:rsid w:val="0074738D"/>
    <w:rsid w:val="0074747B"/>
    <w:rsid w:val="007474AB"/>
    <w:rsid w:val="00747663"/>
    <w:rsid w:val="00747888"/>
    <w:rsid w:val="007478BB"/>
    <w:rsid w:val="00747B1A"/>
    <w:rsid w:val="00747CB0"/>
    <w:rsid w:val="00747CD3"/>
    <w:rsid w:val="00747F0D"/>
    <w:rsid w:val="00747F2B"/>
    <w:rsid w:val="0075019D"/>
    <w:rsid w:val="007505BC"/>
    <w:rsid w:val="0075061A"/>
    <w:rsid w:val="00750779"/>
    <w:rsid w:val="007508EA"/>
    <w:rsid w:val="00750926"/>
    <w:rsid w:val="00750B75"/>
    <w:rsid w:val="00750BE5"/>
    <w:rsid w:val="00750C1F"/>
    <w:rsid w:val="00750C7D"/>
    <w:rsid w:val="00750F0B"/>
    <w:rsid w:val="00750F8B"/>
    <w:rsid w:val="007513D0"/>
    <w:rsid w:val="00751543"/>
    <w:rsid w:val="007515AD"/>
    <w:rsid w:val="0075181F"/>
    <w:rsid w:val="00751F92"/>
    <w:rsid w:val="007521CC"/>
    <w:rsid w:val="007522D9"/>
    <w:rsid w:val="00752720"/>
    <w:rsid w:val="007527BC"/>
    <w:rsid w:val="007527E9"/>
    <w:rsid w:val="00752855"/>
    <w:rsid w:val="007529CC"/>
    <w:rsid w:val="00752B6A"/>
    <w:rsid w:val="00752CCC"/>
    <w:rsid w:val="00752D60"/>
    <w:rsid w:val="00752D86"/>
    <w:rsid w:val="00752E0D"/>
    <w:rsid w:val="0075303B"/>
    <w:rsid w:val="00753066"/>
    <w:rsid w:val="007531C7"/>
    <w:rsid w:val="007532E8"/>
    <w:rsid w:val="007535B0"/>
    <w:rsid w:val="007535B8"/>
    <w:rsid w:val="00753A35"/>
    <w:rsid w:val="00753D9D"/>
    <w:rsid w:val="00753E68"/>
    <w:rsid w:val="00753EBA"/>
    <w:rsid w:val="00753EEF"/>
    <w:rsid w:val="00753F16"/>
    <w:rsid w:val="0075413F"/>
    <w:rsid w:val="007543CE"/>
    <w:rsid w:val="0075450F"/>
    <w:rsid w:val="0075465C"/>
    <w:rsid w:val="00754ACB"/>
    <w:rsid w:val="00754AD3"/>
    <w:rsid w:val="00754D99"/>
    <w:rsid w:val="00754ED0"/>
    <w:rsid w:val="0075505F"/>
    <w:rsid w:val="00755114"/>
    <w:rsid w:val="0075514B"/>
    <w:rsid w:val="0075514C"/>
    <w:rsid w:val="0075529C"/>
    <w:rsid w:val="007552A9"/>
    <w:rsid w:val="007556CB"/>
    <w:rsid w:val="0075587A"/>
    <w:rsid w:val="00755A43"/>
    <w:rsid w:val="00755BA2"/>
    <w:rsid w:val="00755CFF"/>
    <w:rsid w:val="00755D64"/>
    <w:rsid w:val="00755E25"/>
    <w:rsid w:val="00755FF6"/>
    <w:rsid w:val="00756019"/>
    <w:rsid w:val="007560EA"/>
    <w:rsid w:val="007561DA"/>
    <w:rsid w:val="00756245"/>
    <w:rsid w:val="007563C8"/>
    <w:rsid w:val="0075669B"/>
    <w:rsid w:val="007567C8"/>
    <w:rsid w:val="0075687C"/>
    <w:rsid w:val="00756945"/>
    <w:rsid w:val="00756B3B"/>
    <w:rsid w:val="00756B8A"/>
    <w:rsid w:val="00756C8C"/>
    <w:rsid w:val="00756CA0"/>
    <w:rsid w:val="00756D61"/>
    <w:rsid w:val="00756FE4"/>
    <w:rsid w:val="0075705D"/>
    <w:rsid w:val="007571EB"/>
    <w:rsid w:val="0075721B"/>
    <w:rsid w:val="0075724E"/>
    <w:rsid w:val="007572C7"/>
    <w:rsid w:val="0075737B"/>
    <w:rsid w:val="007573C9"/>
    <w:rsid w:val="007576AC"/>
    <w:rsid w:val="007579D1"/>
    <w:rsid w:val="00757A2D"/>
    <w:rsid w:val="00757C23"/>
    <w:rsid w:val="00757C90"/>
    <w:rsid w:val="00757D27"/>
    <w:rsid w:val="00757DFD"/>
    <w:rsid w:val="007600AB"/>
    <w:rsid w:val="00760228"/>
    <w:rsid w:val="00760442"/>
    <w:rsid w:val="00760452"/>
    <w:rsid w:val="007604E5"/>
    <w:rsid w:val="00760533"/>
    <w:rsid w:val="00760627"/>
    <w:rsid w:val="00760637"/>
    <w:rsid w:val="007606CA"/>
    <w:rsid w:val="0076082A"/>
    <w:rsid w:val="007608D2"/>
    <w:rsid w:val="007612D7"/>
    <w:rsid w:val="007615F3"/>
    <w:rsid w:val="007616CB"/>
    <w:rsid w:val="00761765"/>
    <w:rsid w:val="00761807"/>
    <w:rsid w:val="00761844"/>
    <w:rsid w:val="007619AD"/>
    <w:rsid w:val="00761BA7"/>
    <w:rsid w:val="00761BEB"/>
    <w:rsid w:val="00761CC1"/>
    <w:rsid w:val="00761D87"/>
    <w:rsid w:val="00761E7F"/>
    <w:rsid w:val="00761EDC"/>
    <w:rsid w:val="00762034"/>
    <w:rsid w:val="007621B8"/>
    <w:rsid w:val="007622EB"/>
    <w:rsid w:val="0076232D"/>
    <w:rsid w:val="007623CC"/>
    <w:rsid w:val="00762490"/>
    <w:rsid w:val="0076264D"/>
    <w:rsid w:val="00762890"/>
    <w:rsid w:val="00762A1B"/>
    <w:rsid w:val="00762A4F"/>
    <w:rsid w:val="00762B96"/>
    <w:rsid w:val="00762DA3"/>
    <w:rsid w:val="00762F08"/>
    <w:rsid w:val="00762F4E"/>
    <w:rsid w:val="00762FE4"/>
    <w:rsid w:val="00763291"/>
    <w:rsid w:val="007639BF"/>
    <w:rsid w:val="00763B81"/>
    <w:rsid w:val="00763D39"/>
    <w:rsid w:val="0076435B"/>
    <w:rsid w:val="007644FA"/>
    <w:rsid w:val="00764A26"/>
    <w:rsid w:val="00764C09"/>
    <w:rsid w:val="00764C89"/>
    <w:rsid w:val="00764C8F"/>
    <w:rsid w:val="00764D9F"/>
    <w:rsid w:val="00764F2E"/>
    <w:rsid w:val="00765047"/>
    <w:rsid w:val="00765087"/>
    <w:rsid w:val="007655D0"/>
    <w:rsid w:val="00765882"/>
    <w:rsid w:val="00765D2A"/>
    <w:rsid w:val="00765F35"/>
    <w:rsid w:val="00766156"/>
    <w:rsid w:val="00766300"/>
    <w:rsid w:val="00766304"/>
    <w:rsid w:val="0076653F"/>
    <w:rsid w:val="0076656C"/>
    <w:rsid w:val="007666AC"/>
    <w:rsid w:val="00766765"/>
    <w:rsid w:val="00766A0E"/>
    <w:rsid w:val="00766AA7"/>
    <w:rsid w:val="00766B38"/>
    <w:rsid w:val="00766B5E"/>
    <w:rsid w:val="00766C4F"/>
    <w:rsid w:val="00766D22"/>
    <w:rsid w:val="00766D3A"/>
    <w:rsid w:val="00767018"/>
    <w:rsid w:val="00767244"/>
    <w:rsid w:val="00767566"/>
    <w:rsid w:val="0076781F"/>
    <w:rsid w:val="0076787A"/>
    <w:rsid w:val="0076794C"/>
    <w:rsid w:val="00767B62"/>
    <w:rsid w:val="00767CCE"/>
    <w:rsid w:val="00767ED4"/>
    <w:rsid w:val="00767F68"/>
    <w:rsid w:val="007701FF"/>
    <w:rsid w:val="00770329"/>
    <w:rsid w:val="0077049B"/>
    <w:rsid w:val="00770742"/>
    <w:rsid w:val="0077089B"/>
    <w:rsid w:val="00770CE5"/>
    <w:rsid w:val="00770E85"/>
    <w:rsid w:val="00770EEC"/>
    <w:rsid w:val="0077108E"/>
    <w:rsid w:val="007711B5"/>
    <w:rsid w:val="007713B8"/>
    <w:rsid w:val="0077140B"/>
    <w:rsid w:val="007714D4"/>
    <w:rsid w:val="00771537"/>
    <w:rsid w:val="00771677"/>
    <w:rsid w:val="0077175E"/>
    <w:rsid w:val="007718EE"/>
    <w:rsid w:val="00771A69"/>
    <w:rsid w:val="00771BE7"/>
    <w:rsid w:val="00771C2F"/>
    <w:rsid w:val="00771D67"/>
    <w:rsid w:val="007721AC"/>
    <w:rsid w:val="00772250"/>
    <w:rsid w:val="0077226E"/>
    <w:rsid w:val="007723C0"/>
    <w:rsid w:val="007726E6"/>
    <w:rsid w:val="00772850"/>
    <w:rsid w:val="007728F4"/>
    <w:rsid w:val="00772A70"/>
    <w:rsid w:val="00772CF5"/>
    <w:rsid w:val="00772EC5"/>
    <w:rsid w:val="007738B2"/>
    <w:rsid w:val="0077415E"/>
    <w:rsid w:val="0077428B"/>
    <w:rsid w:val="0077429B"/>
    <w:rsid w:val="0077447A"/>
    <w:rsid w:val="0077450B"/>
    <w:rsid w:val="00774601"/>
    <w:rsid w:val="00774841"/>
    <w:rsid w:val="00774AA0"/>
    <w:rsid w:val="00774AC3"/>
    <w:rsid w:val="00774C1A"/>
    <w:rsid w:val="00774D93"/>
    <w:rsid w:val="00775029"/>
    <w:rsid w:val="00775137"/>
    <w:rsid w:val="0077527A"/>
    <w:rsid w:val="007752DE"/>
    <w:rsid w:val="0077537A"/>
    <w:rsid w:val="007754C6"/>
    <w:rsid w:val="007755BB"/>
    <w:rsid w:val="007755E2"/>
    <w:rsid w:val="0077560B"/>
    <w:rsid w:val="007756AE"/>
    <w:rsid w:val="00775848"/>
    <w:rsid w:val="007759BC"/>
    <w:rsid w:val="007759DE"/>
    <w:rsid w:val="00775B3D"/>
    <w:rsid w:val="00775B53"/>
    <w:rsid w:val="00775E6A"/>
    <w:rsid w:val="00775FB7"/>
    <w:rsid w:val="00776006"/>
    <w:rsid w:val="007761C8"/>
    <w:rsid w:val="00776291"/>
    <w:rsid w:val="0077644E"/>
    <w:rsid w:val="007765E4"/>
    <w:rsid w:val="007766FA"/>
    <w:rsid w:val="00776937"/>
    <w:rsid w:val="007769F3"/>
    <w:rsid w:val="00776A01"/>
    <w:rsid w:val="00776C20"/>
    <w:rsid w:val="00776F68"/>
    <w:rsid w:val="00776FC1"/>
    <w:rsid w:val="00777052"/>
    <w:rsid w:val="00777055"/>
    <w:rsid w:val="0077732D"/>
    <w:rsid w:val="00777426"/>
    <w:rsid w:val="007774DE"/>
    <w:rsid w:val="0077772A"/>
    <w:rsid w:val="00777853"/>
    <w:rsid w:val="00777874"/>
    <w:rsid w:val="007778D3"/>
    <w:rsid w:val="0077791B"/>
    <w:rsid w:val="00777ABF"/>
    <w:rsid w:val="00777CC6"/>
    <w:rsid w:val="00777CE2"/>
    <w:rsid w:val="00777EBA"/>
    <w:rsid w:val="00777EE1"/>
    <w:rsid w:val="00777F9F"/>
    <w:rsid w:val="007804C6"/>
    <w:rsid w:val="00780612"/>
    <w:rsid w:val="00780654"/>
    <w:rsid w:val="00780660"/>
    <w:rsid w:val="00780708"/>
    <w:rsid w:val="00780D1E"/>
    <w:rsid w:val="00780E86"/>
    <w:rsid w:val="00780E9C"/>
    <w:rsid w:val="00781047"/>
    <w:rsid w:val="0078107F"/>
    <w:rsid w:val="00781234"/>
    <w:rsid w:val="00781241"/>
    <w:rsid w:val="00781264"/>
    <w:rsid w:val="00781351"/>
    <w:rsid w:val="007814E1"/>
    <w:rsid w:val="00781505"/>
    <w:rsid w:val="00781552"/>
    <w:rsid w:val="00781701"/>
    <w:rsid w:val="007817EB"/>
    <w:rsid w:val="00781821"/>
    <w:rsid w:val="00781A24"/>
    <w:rsid w:val="00781C1C"/>
    <w:rsid w:val="00781F33"/>
    <w:rsid w:val="00781F68"/>
    <w:rsid w:val="00782015"/>
    <w:rsid w:val="007821B6"/>
    <w:rsid w:val="0078292B"/>
    <w:rsid w:val="00782CF9"/>
    <w:rsid w:val="00782EA6"/>
    <w:rsid w:val="00782EFC"/>
    <w:rsid w:val="00783107"/>
    <w:rsid w:val="007831E5"/>
    <w:rsid w:val="007834A4"/>
    <w:rsid w:val="0078350E"/>
    <w:rsid w:val="0078360F"/>
    <w:rsid w:val="007837E1"/>
    <w:rsid w:val="007838A7"/>
    <w:rsid w:val="00783A04"/>
    <w:rsid w:val="00783A47"/>
    <w:rsid w:val="00783AFC"/>
    <w:rsid w:val="00783CC3"/>
    <w:rsid w:val="0078448A"/>
    <w:rsid w:val="007844F5"/>
    <w:rsid w:val="0078454B"/>
    <w:rsid w:val="00784613"/>
    <w:rsid w:val="007846BC"/>
    <w:rsid w:val="007847E9"/>
    <w:rsid w:val="007847F8"/>
    <w:rsid w:val="007848D9"/>
    <w:rsid w:val="00784A55"/>
    <w:rsid w:val="00784C22"/>
    <w:rsid w:val="00784F2D"/>
    <w:rsid w:val="00784F31"/>
    <w:rsid w:val="007853CA"/>
    <w:rsid w:val="00785548"/>
    <w:rsid w:val="007855E3"/>
    <w:rsid w:val="00785696"/>
    <w:rsid w:val="0078584B"/>
    <w:rsid w:val="0078596F"/>
    <w:rsid w:val="00785973"/>
    <w:rsid w:val="00785998"/>
    <w:rsid w:val="00785AEF"/>
    <w:rsid w:val="00785BE7"/>
    <w:rsid w:val="00785C55"/>
    <w:rsid w:val="00785CD2"/>
    <w:rsid w:val="00785E07"/>
    <w:rsid w:val="00785E0E"/>
    <w:rsid w:val="00786029"/>
    <w:rsid w:val="00786281"/>
    <w:rsid w:val="007862F4"/>
    <w:rsid w:val="007863A6"/>
    <w:rsid w:val="007863C5"/>
    <w:rsid w:val="007864D5"/>
    <w:rsid w:val="0078654B"/>
    <w:rsid w:val="007869CB"/>
    <w:rsid w:val="00786AB5"/>
    <w:rsid w:val="00786C0A"/>
    <w:rsid w:val="00786C20"/>
    <w:rsid w:val="00786C83"/>
    <w:rsid w:val="00786D10"/>
    <w:rsid w:val="00786F60"/>
    <w:rsid w:val="0078707E"/>
    <w:rsid w:val="0078747E"/>
    <w:rsid w:val="00787487"/>
    <w:rsid w:val="007874E9"/>
    <w:rsid w:val="007874EC"/>
    <w:rsid w:val="00787663"/>
    <w:rsid w:val="00787667"/>
    <w:rsid w:val="007876C8"/>
    <w:rsid w:val="00787C2E"/>
    <w:rsid w:val="00787CFC"/>
    <w:rsid w:val="00787D5F"/>
    <w:rsid w:val="00787F17"/>
    <w:rsid w:val="00790190"/>
    <w:rsid w:val="0079019B"/>
    <w:rsid w:val="00790782"/>
    <w:rsid w:val="00790FD9"/>
    <w:rsid w:val="007911D1"/>
    <w:rsid w:val="00791259"/>
    <w:rsid w:val="0079127C"/>
    <w:rsid w:val="00791305"/>
    <w:rsid w:val="00791325"/>
    <w:rsid w:val="0079171D"/>
    <w:rsid w:val="0079177E"/>
    <w:rsid w:val="00791B36"/>
    <w:rsid w:val="00791E4D"/>
    <w:rsid w:val="00791E60"/>
    <w:rsid w:val="007920FF"/>
    <w:rsid w:val="007924E0"/>
    <w:rsid w:val="0079292F"/>
    <w:rsid w:val="00792990"/>
    <w:rsid w:val="00792AD4"/>
    <w:rsid w:val="00792B93"/>
    <w:rsid w:val="00792C76"/>
    <w:rsid w:val="00792D31"/>
    <w:rsid w:val="00792F77"/>
    <w:rsid w:val="00793553"/>
    <w:rsid w:val="007935A8"/>
    <w:rsid w:val="00793818"/>
    <w:rsid w:val="007938B1"/>
    <w:rsid w:val="007938F3"/>
    <w:rsid w:val="0079392E"/>
    <w:rsid w:val="00793996"/>
    <w:rsid w:val="00793B04"/>
    <w:rsid w:val="00793C57"/>
    <w:rsid w:val="00793CA0"/>
    <w:rsid w:val="0079406C"/>
    <w:rsid w:val="007940F4"/>
    <w:rsid w:val="0079414C"/>
    <w:rsid w:val="0079415E"/>
    <w:rsid w:val="0079418E"/>
    <w:rsid w:val="007941B0"/>
    <w:rsid w:val="007943B1"/>
    <w:rsid w:val="007945DD"/>
    <w:rsid w:val="007946B0"/>
    <w:rsid w:val="00794700"/>
    <w:rsid w:val="007948D9"/>
    <w:rsid w:val="00794B0D"/>
    <w:rsid w:val="00794B91"/>
    <w:rsid w:val="00794ED8"/>
    <w:rsid w:val="007950AB"/>
    <w:rsid w:val="007955C1"/>
    <w:rsid w:val="00795718"/>
    <w:rsid w:val="00795AB5"/>
    <w:rsid w:val="00795E06"/>
    <w:rsid w:val="007960E8"/>
    <w:rsid w:val="00796494"/>
    <w:rsid w:val="007968C3"/>
    <w:rsid w:val="00796991"/>
    <w:rsid w:val="00796A40"/>
    <w:rsid w:val="00796BA0"/>
    <w:rsid w:val="00796C28"/>
    <w:rsid w:val="00796CC1"/>
    <w:rsid w:val="00796D5D"/>
    <w:rsid w:val="00796D89"/>
    <w:rsid w:val="00796E09"/>
    <w:rsid w:val="00796E89"/>
    <w:rsid w:val="007970AC"/>
    <w:rsid w:val="00797185"/>
    <w:rsid w:val="007971DC"/>
    <w:rsid w:val="00797239"/>
    <w:rsid w:val="007972A0"/>
    <w:rsid w:val="00797458"/>
    <w:rsid w:val="007974BC"/>
    <w:rsid w:val="007974DD"/>
    <w:rsid w:val="007974EC"/>
    <w:rsid w:val="00797695"/>
    <w:rsid w:val="00797696"/>
    <w:rsid w:val="00797724"/>
    <w:rsid w:val="00797A35"/>
    <w:rsid w:val="00797A57"/>
    <w:rsid w:val="00797B10"/>
    <w:rsid w:val="00797DE6"/>
    <w:rsid w:val="00797EA6"/>
    <w:rsid w:val="00797EEE"/>
    <w:rsid w:val="007A0110"/>
    <w:rsid w:val="007A016C"/>
    <w:rsid w:val="007A02CA"/>
    <w:rsid w:val="007A0468"/>
    <w:rsid w:val="007A053D"/>
    <w:rsid w:val="007A054F"/>
    <w:rsid w:val="007A0611"/>
    <w:rsid w:val="007A083A"/>
    <w:rsid w:val="007A08E5"/>
    <w:rsid w:val="007A0C6B"/>
    <w:rsid w:val="007A0F8C"/>
    <w:rsid w:val="007A100D"/>
    <w:rsid w:val="007A108A"/>
    <w:rsid w:val="007A116D"/>
    <w:rsid w:val="007A11B3"/>
    <w:rsid w:val="007A1200"/>
    <w:rsid w:val="007A128B"/>
    <w:rsid w:val="007A1345"/>
    <w:rsid w:val="007A1368"/>
    <w:rsid w:val="007A13FB"/>
    <w:rsid w:val="007A13FE"/>
    <w:rsid w:val="007A147B"/>
    <w:rsid w:val="007A149D"/>
    <w:rsid w:val="007A15FB"/>
    <w:rsid w:val="007A1703"/>
    <w:rsid w:val="007A17CE"/>
    <w:rsid w:val="007A188A"/>
    <w:rsid w:val="007A1994"/>
    <w:rsid w:val="007A1B66"/>
    <w:rsid w:val="007A1F21"/>
    <w:rsid w:val="007A2014"/>
    <w:rsid w:val="007A233C"/>
    <w:rsid w:val="007A2509"/>
    <w:rsid w:val="007A2596"/>
    <w:rsid w:val="007A26FB"/>
    <w:rsid w:val="007A2756"/>
    <w:rsid w:val="007A2A1D"/>
    <w:rsid w:val="007A2AAA"/>
    <w:rsid w:val="007A2AE1"/>
    <w:rsid w:val="007A2B39"/>
    <w:rsid w:val="007A2F36"/>
    <w:rsid w:val="007A2F70"/>
    <w:rsid w:val="007A3082"/>
    <w:rsid w:val="007A30A0"/>
    <w:rsid w:val="007A32CF"/>
    <w:rsid w:val="007A3341"/>
    <w:rsid w:val="007A34E6"/>
    <w:rsid w:val="007A358A"/>
    <w:rsid w:val="007A35C3"/>
    <w:rsid w:val="007A391B"/>
    <w:rsid w:val="007A3EB0"/>
    <w:rsid w:val="007A3ECB"/>
    <w:rsid w:val="007A3EE0"/>
    <w:rsid w:val="007A40D4"/>
    <w:rsid w:val="007A4426"/>
    <w:rsid w:val="007A4AAC"/>
    <w:rsid w:val="007A4B6E"/>
    <w:rsid w:val="007A4D24"/>
    <w:rsid w:val="007A4DB9"/>
    <w:rsid w:val="007A4F81"/>
    <w:rsid w:val="007A506F"/>
    <w:rsid w:val="007A50D3"/>
    <w:rsid w:val="007A5176"/>
    <w:rsid w:val="007A51C7"/>
    <w:rsid w:val="007A5426"/>
    <w:rsid w:val="007A56D2"/>
    <w:rsid w:val="007A578F"/>
    <w:rsid w:val="007A5967"/>
    <w:rsid w:val="007A59C7"/>
    <w:rsid w:val="007A5B60"/>
    <w:rsid w:val="007A5BE7"/>
    <w:rsid w:val="007A5CB1"/>
    <w:rsid w:val="007A5DE2"/>
    <w:rsid w:val="007A5E7B"/>
    <w:rsid w:val="007A5EA5"/>
    <w:rsid w:val="007A5EB1"/>
    <w:rsid w:val="007A5F26"/>
    <w:rsid w:val="007A61FC"/>
    <w:rsid w:val="007A62A0"/>
    <w:rsid w:val="007A6384"/>
    <w:rsid w:val="007A650C"/>
    <w:rsid w:val="007A6549"/>
    <w:rsid w:val="007A6635"/>
    <w:rsid w:val="007A6809"/>
    <w:rsid w:val="007A6B97"/>
    <w:rsid w:val="007A6C9D"/>
    <w:rsid w:val="007A6D89"/>
    <w:rsid w:val="007A6E1F"/>
    <w:rsid w:val="007A6E2C"/>
    <w:rsid w:val="007A6E64"/>
    <w:rsid w:val="007A6EFE"/>
    <w:rsid w:val="007A71FF"/>
    <w:rsid w:val="007A724F"/>
    <w:rsid w:val="007A7355"/>
    <w:rsid w:val="007A7455"/>
    <w:rsid w:val="007A7577"/>
    <w:rsid w:val="007A75DA"/>
    <w:rsid w:val="007A7763"/>
    <w:rsid w:val="007A7793"/>
    <w:rsid w:val="007A7796"/>
    <w:rsid w:val="007A77B5"/>
    <w:rsid w:val="007A7893"/>
    <w:rsid w:val="007A7ACA"/>
    <w:rsid w:val="007A7CFB"/>
    <w:rsid w:val="007A7F89"/>
    <w:rsid w:val="007B0053"/>
    <w:rsid w:val="007B024B"/>
    <w:rsid w:val="007B0290"/>
    <w:rsid w:val="007B0BCF"/>
    <w:rsid w:val="007B0C64"/>
    <w:rsid w:val="007B0E68"/>
    <w:rsid w:val="007B0EB3"/>
    <w:rsid w:val="007B0FB3"/>
    <w:rsid w:val="007B106A"/>
    <w:rsid w:val="007B1074"/>
    <w:rsid w:val="007B138C"/>
    <w:rsid w:val="007B13F3"/>
    <w:rsid w:val="007B1420"/>
    <w:rsid w:val="007B1489"/>
    <w:rsid w:val="007B15C2"/>
    <w:rsid w:val="007B17D2"/>
    <w:rsid w:val="007B1941"/>
    <w:rsid w:val="007B1A61"/>
    <w:rsid w:val="007B1BDD"/>
    <w:rsid w:val="007B1C09"/>
    <w:rsid w:val="007B1F95"/>
    <w:rsid w:val="007B1FFD"/>
    <w:rsid w:val="007B204C"/>
    <w:rsid w:val="007B22B2"/>
    <w:rsid w:val="007B2319"/>
    <w:rsid w:val="007B2358"/>
    <w:rsid w:val="007B237E"/>
    <w:rsid w:val="007B2418"/>
    <w:rsid w:val="007B2496"/>
    <w:rsid w:val="007B2598"/>
    <w:rsid w:val="007B26BA"/>
    <w:rsid w:val="007B2892"/>
    <w:rsid w:val="007B2904"/>
    <w:rsid w:val="007B292C"/>
    <w:rsid w:val="007B3061"/>
    <w:rsid w:val="007B332F"/>
    <w:rsid w:val="007B33C0"/>
    <w:rsid w:val="007B34FA"/>
    <w:rsid w:val="007B3B28"/>
    <w:rsid w:val="007B3BC9"/>
    <w:rsid w:val="007B3D86"/>
    <w:rsid w:val="007B3F88"/>
    <w:rsid w:val="007B3FC7"/>
    <w:rsid w:val="007B4107"/>
    <w:rsid w:val="007B428D"/>
    <w:rsid w:val="007B4329"/>
    <w:rsid w:val="007B4390"/>
    <w:rsid w:val="007B43CF"/>
    <w:rsid w:val="007B43E0"/>
    <w:rsid w:val="007B4750"/>
    <w:rsid w:val="007B47E5"/>
    <w:rsid w:val="007B48A9"/>
    <w:rsid w:val="007B4A54"/>
    <w:rsid w:val="007B4A81"/>
    <w:rsid w:val="007B4A85"/>
    <w:rsid w:val="007B4B30"/>
    <w:rsid w:val="007B4C02"/>
    <w:rsid w:val="007B4C68"/>
    <w:rsid w:val="007B4CD1"/>
    <w:rsid w:val="007B4D1C"/>
    <w:rsid w:val="007B506E"/>
    <w:rsid w:val="007B50CB"/>
    <w:rsid w:val="007B5150"/>
    <w:rsid w:val="007B525C"/>
    <w:rsid w:val="007B5270"/>
    <w:rsid w:val="007B52A6"/>
    <w:rsid w:val="007B53EB"/>
    <w:rsid w:val="007B547F"/>
    <w:rsid w:val="007B54A9"/>
    <w:rsid w:val="007B5681"/>
    <w:rsid w:val="007B5897"/>
    <w:rsid w:val="007B595A"/>
    <w:rsid w:val="007B5963"/>
    <w:rsid w:val="007B5AFD"/>
    <w:rsid w:val="007B5B3A"/>
    <w:rsid w:val="007B5C65"/>
    <w:rsid w:val="007B5D40"/>
    <w:rsid w:val="007B6008"/>
    <w:rsid w:val="007B627C"/>
    <w:rsid w:val="007B62F6"/>
    <w:rsid w:val="007B6397"/>
    <w:rsid w:val="007B6684"/>
    <w:rsid w:val="007B67FF"/>
    <w:rsid w:val="007B6872"/>
    <w:rsid w:val="007B69A0"/>
    <w:rsid w:val="007B6A9E"/>
    <w:rsid w:val="007B6B33"/>
    <w:rsid w:val="007B6C05"/>
    <w:rsid w:val="007B7041"/>
    <w:rsid w:val="007B70EB"/>
    <w:rsid w:val="007B70FD"/>
    <w:rsid w:val="007B721D"/>
    <w:rsid w:val="007B7345"/>
    <w:rsid w:val="007B772B"/>
    <w:rsid w:val="007B7984"/>
    <w:rsid w:val="007B7A85"/>
    <w:rsid w:val="007B7C1A"/>
    <w:rsid w:val="007B7C8D"/>
    <w:rsid w:val="007B7CC6"/>
    <w:rsid w:val="007B7DD6"/>
    <w:rsid w:val="007C04AD"/>
    <w:rsid w:val="007C0561"/>
    <w:rsid w:val="007C05DA"/>
    <w:rsid w:val="007C07FE"/>
    <w:rsid w:val="007C09A4"/>
    <w:rsid w:val="007C0E06"/>
    <w:rsid w:val="007C0E4E"/>
    <w:rsid w:val="007C0F61"/>
    <w:rsid w:val="007C1108"/>
    <w:rsid w:val="007C117E"/>
    <w:rsid w:val="007C11BE"/>
    <w:rsid w:val="007C12BB"/>
    <w:rsid w:val="007C1C04"/>
    <w:rsid w:val="007C1D43"/>
    <w:rsid w:val="007C1F65"/>
    <w:rsid w:val="007C2065"/>
    <w:rsid w:val="007C2214"/>
    <w:rsid w:val="007C2423"/>
    <w:rsid w:val="007C259E"/>
    <w:rsid w:val="007C26C9"/>
    <w:rsid w:val="007C283A"/>
    <w:rsid w:val="007C297D"/>
    <w:rsid w:val="007C2AA8"/>
    <w:rsid w:val="007C2AEF"/>
    <w:rsid w:val="007C2BB4"/>
    <w:rsid w:val="007C3014"/>
    <w:rsid w:val="007C3458"/>
    <w:rsid w:val="007C3564"/>
    <w:rsid w:val="007C37FF"/>
    <w:rsid w:val="007C3A7A"/>
    <w:rsid w:val="007C3B83"/>
    <w:rsid w:val="007C3E23"/>
    <w:rsid w:val="007C3F5E"/>
    <w:rsid w:val="007C4017"/>
    <w:rsid w:val="007C40A0"/>
    <w:rsid w:val="007C44F5"/>
    <w:rsid w:val="007C4676"/>
    <w:rsid w:val="007C46E5"/>
    <w:rsid w:val="007C47A7"/>
    <w:rsid w:val="007C49C3"/>
    <w:rsid w:val="007C4C96"/>
    <w:rsid w:val="007C4D65"/>
    <w:rsid w:val="007C5243"/>
    <w:rsid w:val="007C52D5"/>
    <w:rsid w:val="007C551E"/>
    <w:rsid w:val="007C5AF4"/>
    <w:rsid w:val="007C5D77"/>
    <w:rsid w:val="007C5ECC"/>
    <w:rsid w:val="007C5FA5"/>
    <w:rsid w:val="007C62F2"/>
    <w:rsid w:val="007C644F"/>
    <w:rsid w:val="007C6465"/>
    <w:rsid w:val="007C69EA"/>
    <w:rsid w:val="007C6CEC"/>
    <w:rsid w:val="007C6D52"/>
    <w:rsid w:val="007C6DA5"/>
    <w:rsid w:val="007C6DAC"/>
    <w:rsid w:val="007C6F0E"/>
    <w:rsid w:val="007C7008"/>
    <w:rsid w:val="007C73D4"/>
    <w:rsid w:val="007C7455"/>
    <w:rsid w:val="007C7500"/>
    <w:rsid w:val="007C75F7"/>
    <w:rsid w:val="007C76BD"/>
    <w:rsid w:val="007C781D"/>
    <w:rsid w:val="007C7B21"/>
    <w:rsid w:val="007C7B83"/>
    <w:rsid w:val="007C7BDA"/>
    <w:rsid w:val="007C7BF5"/>
    <w:rsid w:val="007C7CC1"/>
    <w:rsid w:val="007C7DA0"/>
    <w:rsid w:val="007C7F40"/>
    <w:rsid w:val="007D012B"/>
    <w:rsid w:val="007D06C1"/>
    <w:rsid w:val="007D07D7"/>
    <w:rsid w:val="007D0BC1"/>
    <w:rsid w:val="007D0C3D"/>
    <w:rsid w:val="007D0D58"/>
    <w:rsid w:val="007D0D85"/>
    <w:rsid w:val="007D1000"/>
    <w:rsid w:val="007D106D"/>
    <w:rsid w:val="007D121E"/>
    <w:rsid w:val="007D15B8"/>
    <w:rsid w:val="007D17EE"/>
    <w:rsid w:val="007D189A"/>
    <w:rsid w:val="007D18BE"/>
    <w:rsid w:val="007D18D3"/>
    <w:rsid w:val="007D1B30"/>
    <w:rsid w:val="007D1D7B"/>
    <w:rsid w:val="007D1E20"/>
    <w:rsid w:val="007D1E4D"/>
    <w:rsid w:val="007D2072"/>
    <w:rsid w:val="007D2234"/>
    <w:rsid w:val="007D229C"/>
    <w:rsid w:val="007D22BC"/>
    <w:rsid w:val="007D23D5"/>
    <w:rsid w:val="007D244D"/>
    <w:rsid w:val="007D25E4"/>
    <w:rsid w:val="007D2605"/>
    <w:rsid w:val="007D2739"/>
    <w:rsid w:val="007D2967"/>
    <w:rsid w:val="007D2D20"/>
    <w:rsid w:val="007D2DA1"/>
    <w:rsid w:val="007D3044"/>
    <w:rsid w:val="007D3298"/>
    <w:rsid w:val="007D3350"/>
    <w:rsid w:val="007D375B"/>
    <w:rsid w:val="007D37BE"/>
    <w:rsid w:val="007D3865"/>
    <w:rsid w:val="007D3A1A"/>
    <w:rsid w:val="007D3A5E"/>
    <w:rsid w:val="007D3ABB"/>
    <w:rsid w:val="007D3C43"/>
    <w:rsid w:val="007D3E9C"/>
    <w:rsid w:val="007D3F3B"/>
    <w:rsid w:val="007D3FBB"/>
    <w:rsid w:val="007D40BB"/>
    <w:rsid w:val="007D45C1"/>
    <w:rsid w:val="007D4673"/>
    <w:rsid w:val="007D46E4"/>
    <w:rsid w:val="007D4724"/>
    <w:rsid w:val="007D4842"/>
    <w:rsid w:val="007D488E"/>
    <w:rsid w:val="007D4A15"/>
    <w:rsid w:val="007D4AAD"/>
    <w:rsid w:val="007D4C39"/>
    <w:rsid w:val="007D516E"/>
    <w:rsid w:val="007D54BA"/>
    <w:rsid w:val="007D5612"/>
    <w:rsid w:val="007D56D1"/>
    <w:rsid w:val="007D571E"/>
    <w:rsid w:val="007D5A9E"/>
    <w:rsid w:val="007D5ADB"/>
    <w:rsid w:val="007D5C3E"/>
    <w:rsid w:val="007D5CE0"/>
    <w:rsid w:val="007D5E1C"/>
    <w:rsid w:val="007D5EE8"/>
    <w:rsid w:val="007D603D"/>
    <w:rsid w:val="007D60B0"/>
    <w:rsid w:val="007D612F"/>
    <w:rsid w:val="007D6260"/>
    <w:rsid w:val="007D628C"/>
    <w:rsid w:val="007D63A8"/>
    <w:rsid w:val="007D64F4"/>
    <w:rsid w:val="007D6555"/>
    <w:rsid w:val="007D6675"/>
    <w:rsid w:val="007D6BAE"/>
    <w:rsid w:val="007D6BEE"/>
    <w:rsid w:val="007D6D4F"/>
    <w:rsid w:val="007D6ECC"/>
    <w:rsid w:val="007D6EE2"/>
    <w:rsid w:val="007D7127"/>
    <w:rsid w:val="007D726C"/>
    <w:rsid w:val="007D72B8"/>
    <w:rsid w:val="007D73C6"/>
    <w:rsid w:val="007D756B"/>
    <w:rsid w:val="007D7669"/>
    <w:rsid w:val="007D76C2"/>
    <w:rsid w:val="007D76CF"/>
    <w:rsid w:val="007D7CD4"/>
    <w:rsid w:val="007D7D3F"/>
    <w:rsid w:val="007D7D74"/>
    <w:rsid w:val="007D7EE8"/>
    <w:rsid w:val="007E0085"/>
    <w:rsid w:val="007E00AF"/>
    <w:rsid w:val="007E0290"/>
    <w:rsid w:val="007E0795"/>
    <w:rsid w:val="007E0832"/>
    <w:rsid w:val="007E0859"/>
    <w:rsid w:val="007E096A"/>
    <w:rsid w:val="007E0A4B"/>
    <w:rsid w:val="007E0AB1"/>
    <w:rsid w:val="007E0B19"/>
    <w:rsid w:val="007E0BF6"/>
    <w:rsid w:val="007E0C06"/>
    <w:rsid w:val="007E0C74"/>
    <w:rsid w:val="007E0F0C"/>
    <w:rsid w:val="007E1139"/>
    <w:rsid w:val="007E134D"/>
    <w:rsid w:val="007E16E8"/>
    <w:rsid w:val="007E1747"/>
    <w:rsid w:val="007E1840"/>
    <w:rsid w:val="007E1BD1"/>
    <w:rsid w:val="007E1C17"/>
    <w:rsid w:val="007E1CAA"/>
    <w:rsid w:val="007E1D1B"/>
    <w:rsid w:val="007E1DE1"/>
    <w:rsid w:val="007E1F11"/>
    <w:rsid w:val="007E21D8"/>
    <w:rsid w:val="007E21F8"/>
    <w:rsid w:val="007E222B"/>
    <w:rsid w:val="007E298B"/>
    <w:rsid w:val="007E29E5"/>
    <w:rsid w:val="007E2AA9"/>
    <w:rsid w:val="007E2EA1"/>
    <w:rsid w:val="007E2F70"/>
    <w:rsid w:val="007E302A"/>
    <w:rsid w:val="007E3054"/>
    <w:rsid w:val="007E316C"/>
    <w:rsid w:val="007E3227"/>
    <w:rsid w:val="007E3492"/>
    <w:rsid w:val="007E390A"/>
    <w:rsid w:val="007E3A0C"/>
    <w:rsid w:val="007E3D06"/>
    <w:rsid w:val="007E3D49"/>
    <w:rsid w:val="007E3E7B"/>
    <w:rsid w:val="007E3F9C"/>
    <w:rsid w:val="007E4069"/>
    <w:rsid w:val="007E40BB"/>
    <w:rsid w:val="007E410F"/>
    <w:rsid w:val="007E41F8"/>
    <w:rsid w:val="007E4449"/>
    <w:rsid w:val="007E44A9"/>
    <w:rsid w:val="007E465D"/>
    <w:rsid w:val="007E46AE"/>
    <w:rsid w:val="007E4701"/>
    <w:rsid w:val="007E4864"/>
    <w:rsid w:val="007E4A62"/>
    <w:rsid w:val="007E4AFB"/>
    <w:rsid w:val="007E4B7E"/>
    <w:rsid w:val="007E4D91"/>
    <w:rsid w:val="007E4E4B"/>
    <w:rsid w:val="007E4F03"/>
    <w:rsid w:val="007E50F2"/>
    <w:rsid w:val="007E513A"/>
    <w:rsid w:val="007E5279"/>
    <w:rsid w:val="007E5355"/>
    <w:rsid w:val="007E55EF"/>
    <w:rsid w:val="007E5729"/>
    <w:rsid w:val="007E5A5B"/>
    <w:rsid w:val="007E5AD3"/>
    <w:rsid w:val="007E5BC6"/>
    <w:rsid w:val="007E5BF9"/>
    <w:rsid w:val="007E5CA6"/>
    <w:rsid w:val="007E5E55"/>
    <w:rsid w:val="007E5EB6"/>
    <w:rsid w:val="007E6039"/>
    <w:rsid w:val="007E6222"/>
    <w:rsid w:val="007E6311"/>
    <w:rsid w:val="007E64B9"/>
    <w:rsid w:val="007E6664"/>
    <w:rsid w:val="007E667E"/>
    <w:rsid w:val="007E682B"/>
    <w:rsid w:val="007E6C0D"/>
    <w:rsid w:val="007E6E48"/>
    <w:rsid w:val="007E6E4D"/>
    <w:rsid w:val="007E6E79"/>
    <w:rsid w:val="007E70B4"/>
    <w:rsid w:val="007E72B4"/>
    <w:rsid w:val="007E7316"/>
    <w:rsid w:val="007E738D"/>
    <w:rsid w:val="007E743F"/>
    <w:rsid w:val="007E7466"/>
    <w:rsid w:val="007E7470"/>
    <w:rsid w:val="007E7616"/>
    <w:rsid w:val="007E77E6"/>
    <w:rsid w:val="007E7B25"/>
    <w:rsid w:val="007E7BEB"/>
    <w:rsid w:val="007E7BEE"/>
    <w:rsid w:val="007E7DA0"/>
    <w:rsid w:val="007E7DC2"/>
    <w:rsid w:val="007E7E54"/>
    <w:rsid w:val="007E7E59"/>
    <w:rsid w:val="007F0337"/>
    <w:rsid w:val="007F0379"/>
    <w:rsid w:val="007F03D1"/>
    <w:rsid w:val="007F0462"/>
    <w:rsid w:val="007F070B"/>
    <w:rsid w:val="007F0710"/>
    <w:rsid w:val="007F0853"/>
    <w:rsid w:val="007F08DE"/>
    <w:rsid w:val="007F09E3"/>
    <w:rsid w:val="007F09F2"/>
    <w:rsid w:val="007F0B0D"/>
    <w:rsid w:val="007F0CEE"/>
    <w:rsid w:val="007F0D95"/>
    <w:rsid w:val="007F0DBE"/>
    <w:rsid w:val="007F0F53"/>
    <w:rsid w:val="007F0F87"/>
    <w:rsid w:val="007F1113"/>
    <w:rsid w:val="007F1189"/>
    <w:rsid w:val="007F1329"/>
    <w:rsid w:val="007F1367"/>
    <w:rsid w:val="007F14A8"/>
    <w:rsid w:val="007F14F1"/>
    <w:rsid w:val="007F1548"/>
    <w:rsid w:val="007F1686"/>
    <w:rsid w:val="007F174D"/>
    <w:rsid w:val="007F17EA"/>
    <w:rsid w:val="007F181E"/>
    <w:rsid w:val="007F193C"/>
    <w:rsid w:val="007F195D"/>
    <w:rsid w:val="007F19DE"/>
    <w:rsid w:val="007F1AAE"/>
    <w:rsid w:val="007F1BD1"/>
    <w:rsid w:val="007F1BE4"/>
    <w:rsid w:val="007F1F2F"/>
    <w:rsid w:val="007F2319"/>
    <w:rsid w:val="007F23B1"/>
    <w:rsid w:val="007F2471"/>
    <w:rsid w:val="007F2488"/>
    <w:rsid w:val="007F25DC"/>
    <w:rsid w:val="007F2600"/>
    <w:rsid w:val="007F26E8"/>
    <w:rsid w:val="007F271C"/>
    <w:rsid w:val="007F2750"/>
    <w:rsid w:val="007F27F4"/>
    <w:rsid w:val="007F2B80"/>
    <w:rsid w:val="007F2C5C"/>
    <w:rsid w:val="007F3044"/>
    <w:rsid w:val="007F365E"/>
    <w:rsid w:val="007F3822"/>
    <w:rsid w:val="007F3A5F"/>
    <w:rsid w:val="007F3BCD"/>
    <w:rsid w:val="007F40E8"/>
    <w:rsid w:val="007F40EA"/>
    <w:rsid w:val="007F453B"/>
    <w:rsid w:val="007F458D"/>
    <w:rsid w:val="007F4594"/>
    <w:rsid w:val="007F48CF"/>
    <w:rsid w:val="007F4C7D"/>
    <w:rsid w:val="007F4C94"/>
    <w:rsid w:val="007F4EE4"/>
    <w:rsid w:val="007F4FB2"/>
    <w:rsid w:val="007F5086"/>
    <w:rsid w:val="007F50DC"/>
    <w:rsid w:val="007F512B"/>
    <w:rsid w:val="007F53BF"/>
    <w:rsid w:val="007F54ED"/>
    <w:rsid w:val="007F56BD"/>
    <w:rsid w:val="007F57F1"/>
    <w:rsid w:val="007F588D"/>
    <w:rsid w:val="007F58BA"/>
    <w:rsid w:val="007F5AF3"/>
    <w:rsid w:val="007F5B52"/>
    <w:rsid w:val="007F5DD0"/>
    <w:rsid w:val="007F5E7D"/>
    <w:rsid w:val="007F60AC"/>
    <w:rsid w:val="007F6261"/>
    <w:rsid w:val="007F62BD"/>
    <w:rsid w:val="007F6628"/>
    <w:rsid w:val="007F668C"/>
    <w:rsid w:val="007F673A"/>
    <w:rsid w:val="007F689E"/>
    <w:rsid w:val="007F69F9"/>
    <w:rsid w:val="007F6CF3"/>
    <w:rsid w:val="007F6D87"/>
    <w:rsid w:val="007F6D98"/>
    <w:rsid w:val="007F6EE9"/>
    <w:rsid w:val="007F700E"/>
    <w:rsid w:val="007F738D"/>
    <w:rsid w:val="007F73E8"/>
    <w:rsid w:val="007F7419"/>
    <w:rsid w:val="007F773D"/>
    <w:rsid w:val="007F7BFA"/>
    <w:rsid w:val="007F7D36"/>
    <w:rsid w:val="007F7E5C"/>
    <w:rsid w:val="007F7E69"/>
    <w:rsid w:val="007F7EFE"/>
    <w:rsid w:val="007F7F88"/>
    <w:rsid w:val="007F7F9F"/>
    <w:rsid w:val="008001A8"/>
    <w:rsid w:val="008004E9"/>
    <w:rsid w:val="0080061F"/>
    <w:rsid w:val="00800961"/>
    <w:rsid w:val="00800AF7"/>
    <w:rsid w:val="00800B57"/>
    <w:rsid w:val="00800CEB"/>
    <w:rsid w:val="00800CF2"/>
    <w:rsid w:val="00800D91"/>
    <w:rsid w:val="0080109C"/>
    <w:rsid w:val="00801289"/>
    <w:rsid w:val="00801399"/>
    <w:rsid w:val="008014AB"/>
    <w:rsid w:val="008014CD"/>
    <w:rsid w:val="008017E8"/>
    <w:rsid w:val="008018F8"/>
    <w:rsid w:val="00801E65"/>
    <w:rsid w:val="00802316"/>
    <w:rsid w:val="0080236E"/>
    <w:rsid w:val="00802675"/>
    <w:rsid w:val="008026C7"/>
    <w:rsid w:val="008026FD"/>
    <w:rsid w:val="00802825"/>
    <w:rsid w:val="008029BD"/>
    <w:rsid w:val="00802A92"/>
    <w:rsid w:val="00802C4A"/>
    <w:rsid w:val="00802D86"/>
    <w:rsid w:val="00802EAC"/>
    <w:rsid w:val="00802FD8"/>
    <w:rsid w:val="008031BA"/>
    <w:rsid w:val="00803418"/>
    <w:rsid w:val="0080359E"/>
    <w:rsid w:val="00803930"/>
    <w:rsid w:val="00803ADE"/>
    <w:rsid w:val="00803D6F"/>
    <w:rsid w:val="00803D77"/>
    <w:rsid w:val="008040AA"/>
    <w:rsid w:val="00804228"/>
    <w:rsid w:val="0080424A"/>
    <w:rsid w:val="00804376"/>
    <w:rsid w:val="0080462E"/>
    <w:rsid w:val="0080467A"/>
    <w:rsid w:val="0080473F"/>
    <w:rsid w:val="00804997"/>
    <w:rsid w:val="00804BA1"/>
    <w:rsid w:val="00804E35"/>
    <w:rsid w:val="00805065"/>
    <w:rsid w:val="00805275"/>
    <w:rsid w:val="008056D3"/>
    <w:rsid w:val="008057A6"/>
    <w:rsid w:val="00805952"/>
    <w:rsid w:val="008059A5"/>
    <w:rsid w:val="00805A13"/>
    <w:rsid w:val="00805A5D"/>
    <w:rsid w:val="00805B38"/>
    <w:rsid w:val="00805B6E"/>
    <w:rsid w:val="00805C06"/>
    <w:rsid w:val="00805C4B"/>
    <w:rsid w:val="00805C7A"/>
    <w:rsid w:val="00805CB0"/>
    <w:rsid w:val="00806048"/>
    <w:rsid w:val="0080608C"/>
    <w:rsid w:val="00806115"/>
    <w:rsid w:val="00806313"/>
    <w:rsid w:val="00806484"/>
    <w:rsid w:val="00806596"/>
    <w:rsid w:val="0080671D"/>
    <w:rsid w:val="0080696E"/>
    <w:rsid w:val="00806B0F"/>
    <w:rsid w:val="00806BD2"/>
    <w:rsid w:val="00806D6D"/>
    <w:rsid w:val="00806F01"/>
    <w:rsid w:val="00807037"/>
    <w:rsid w:val="008070EF"/>
    <w:rsid w:val="00807255"/>
    <w:rsid w:val="00807633"/>
    <w:rsid w:val="008076DA"/>
    <w:rsid w:val="008077DE"/>
    <w:rsid w:val="00807B21"/>
    <w:rsid w:val="00807B53"/>
    <w:rsid w:val="00807B5F"/>
    <w:rsid w:val="00807E25"/>
    <w:rsid w:val="00810402"/>
    <w:rsid w:val="00810500"/>
    <w:rsid w:val="0081066C"/>
    <w:rsid w:val="00810745"/>
    <w:rsid w:val="0081078F"/>
    <w:rsid w:val="00810C45"/>
    <w:rsid w:val="00810C8C"/>
    <w:rsid w:val="00810DC8"/>
    <w:rsid w:val="00810E3C"/>
    <w:rsid w:val="00810FDA"/>
    <w:rsid w:val="0081100F"/>
    <w:rsid w:val="008110AC"/>
    <w:rsid w:val="0081112C"/>
    <w:rsid w:val="008111CB"/>
    <w:rsid w:val="008112E1"/>
    <w:rsid w:val="008114CC"/>
    <w:rsid w:val="008115C5"/>
    <w:rsid w:val="0081193C"/>
    <w:rsid w:val="00811B90"/>
    <w:rsid w:val="00811DE0"/>
    <w:rsid w:val="00811E2F"/>
    <w:rsid w:val="00811F4B"/>
    <w:rsid w:val="00811F6B"/>
    <w:rsid w:val="00812070"/>
    <w:rsid w:val="00812125"/>
    <w:rsid w:val="008124DF"/>
    <w:rsid w:val="0081254D"/>
    <w:rsid w:val="00812681"/>
    <w:rsid w:val="0081274D"/>
    <w:rsid w:val="00812823"/>
    <w:rsid w:val="0081286C"/>
    <w:rsid w:val="00812904"/>
    <w:rsid w:val="0081296B"/>
    <w:rsid w:val="00812A73"/>
    <w:rsid w:val="00812AF5"/>
    <w:rsid w:val="00812BE8"/>
    <w:rsid w:val="00812D0D"/>
    <w:rsid w:val="00812DE3"/>
    <w:rsid w:val="00812FDE"/>
    <w:rsid w:val="0081302D"/>
    <w:rsid w:val="00813089"/>
    <w:rsid w:val="00813204"/>
    <w:rsid w:val="0081330E"/>
    <w:rsid w:val="00813420"/>
    <w:rsid w:val="008134C1"/>
    <w:rsid w:val="008135F9"/>
    <w:rsid w:val="00813AC7"/>
    <w:rsid w:val="00813D64"/>
    <w:rsid w:val="00813EC9"/>
    <w:rsid w:val="00813F6B"/>
    <w:rsid w:val="00814093"/>
    <w:rsid w:val="008142C8"/>
    <w:rsid w:val="008144BA"/>
    <w:rsid w:val="00814605"/>
    <w:rsid w:val="0081488D"/>
    <w:rsid w:val="0081492F"/>
    <w:rsid w:val="00814C80"/>
    <w:rsid w:val="00814D15"/>
    <w:rsid w:val="00814EF9"/>
    <w:rsid w:val="00814F9E"/>
    <w:rsid w:val="00815022"/>
    <w:rsid w:val="00815209"/>
    <w:rsid w:val="008152F3"/>
    <w:rsid w:val="0081545A"/>
    <w:rsid w:val="00815E07"/>
    <w:rsid w:val="00815E1D"/>
    <w:rsid w:val="00815FC7"/>
    <w:rsid w:val="008161A5"/>
    <w:rsid w:val="00816200"/>
    <w:rsid w:val="00816589"/>
    <w:rsid w:val="008167B3"/>
    <w:rsid w:val="00816862"/>
    <w:rsid w:val="008168A4"/>
    <w:rsid w:val="00816C93"/>
    <w:rsid w:val="00816F65"/>
    <w:rsid w:val="0081731E"/>
    <w:rsid w:val="00817635"/>
    <w:rsid w:val="0081765E"/>
    <w:rsid w:val="00817B4A"/>
    <w:rsid w:val="00817C2A"/>
    <w:rsid w:val="00817C9C"/>
    <w:rsid w:val="00817D87"/>
    <w:rsid w:val="00820072"/>
    <w:rsid w:val="008203DD"/>
    <w:rsid w:val="00820481"/>
    <w:rsid w:val="008204B7"/>
    <w:rsid w:val="0082057D"/>
    <w:rsid w:val="0082082F"/>
    <w:rsid w:val="00820836"/>
    <w:rsid w:val="008209D4"/>
    <w:rsid w:val="00820A30"/>
    <w:rsid w:val="00820BA8"/>
    <w:rsid w:val="00820E08"/>
    <w:rsid w:val="00820FC7"/>
    <w:rsid w:val="0082102B"/>
    <w:rsid w:val="00821044"/>
    <w:rsid w:val="00821515"/>
    <w:rsid w:val="008216A2"/>
    <w:rsid w:val="008218E8"/>
    <w:rsid w:val="00821A77"/>
    <w:rsid w:val="00821F6C"/>
    <w:rsid w:val="0082214D"/>
    <w:rsid w:val="008221E8"/>
    <w:rsid w:val="0082223F"/>
    <w:rsid w:val="00822245"/>
    <w:rsid w:val="00822544"/>
    <w:rsid w:val="00822650"/>
    <w:rsid w:val="0082267F"/>
    <w:rsid w:val="0082278D"/>
    <w:rsid w:val="008227BE"/>
    <w:rsid w:val="00822906"/>
    <w:rsid w:val="00822A4F"/>
    <w:rsid w:val="00822ADE"/>
    <w:rsid w:val="00822C83"/>
    <w:rsid w:val="00822D2A"/>
    <w:rsid w:val="00822D72"/>
    <w:rsid w:val="00822FD7"/>
    <w:rsid w:val="00823228"/>
    <w:rsid w:val="00823422"/>
    <w:rsid w:val="0082364E"/>
    <w:rsid w:val="00823654"/>
    <w:rsid w:val="0082370A"/>
    <w:rsid w:val="00823777"/>
    <w:rsid w:val="008239B1"/>
    <w:rsid w:val="00823D3B"/>
    <w:rsid w:val="00824050"/>
    <w:rsid w:val="00824350"/>
    <w:rsid w:val="008245E7"/>
    <w:rsid w:val="00824677"/>
    <w:rsid w:val="008247E2"/>
    <w:rsid w:val="00824A7B"/>
    <w:rsid w:val="00824BA8"/>
    <w:rsid w:val="00824DD4"/>
    <w:rsid w:val="00824EC9"/>
    <w:rsid w:val="0082520A"/>
    <w:rsid w:val="0082543F"/>
    <w:rsid w:val="008254CA"/>
    <w:rsid w:val="008256A3"/>
    <w:rsid w:val="008256E5"/>
    <w:rsid w:val="00825789"/>
    <w:rsid w:val="00825A1D"/>
    <w:rsid w:val="00825B2A"/>
    <w:rsid w:val="00825CA7"/>
    <w:rsid w:val="00825E31"/>
    <w:rsid w:val="00826017"/>
    <w:rsid w:val="0082612E"/>
    <w:rsid w:val="00826321"/>
    <w:rsid w:val="008263FA"/>
    <w:rsid w:val="00826497"/>
    <w:rsid w:val="008265BE"/>
    <w:rsid w:val="008267DC"/>
    <w:rsid w:val="00826841"/>
    <w:rsid w:val="008268D4"/>
    <w:rsid w:val="00826F3D"/>
    <w:rsid w:val="008270E9"/>
    <w:rsid w:val="008270F2"/>
    <w:rsid w:val="0082719B"/>
    <w:rsid w:val="008272C3"/>
    <w:rsid w:val="008274DE"/>
    <w:rsid w:val="008276C0"/>
    <w:rsid w:val="0082780C"/>
    <w:rsid w:val="00827871"/>
    <w:rsid w:val="00827A64"/>
    <w:rsid w:val="00827A9E"/>
    <w:rsid w:val="00827BE6"/>
    <w:rsid w:val="00827D12"/>
    <w:rsid w:val="00827DC5"/>
    <w:rsid w:val="00827DDF"/>
    <w:rsid w:val="00827EDC"/>
    <w:rsid w:val="008300A7"/>
    <w:rsid w:val="00830111"/>
    <w:rsid w:val="0083015E"/>
    <w:rsid w:val="00830353"/>
    <w:rsid w:val="00830424"/>
    <w:rsid w:val="008304E4"/>
    <w:rsid w:val="00830524"/>
    <w:rsid w:val="00830535"/>
    <w:rsid w:val="008305FF"/>
    <w:rsid w:val="0083061F"/>
    <w:rsid w:val="008306C3"/>
    <w:rsid w:val="00830A80"/>
    <w:rsid w:val="0083116F"/>
    <w:rsid w:val="008313AF"/>
    <w:rsid w:val="008313BE"/>
    <w:rsid w:val="0083165E"/>
    <w:rsid w:val="008316AE"/>
    <w:rsid w:val="008316E4"/>
    <w:rsid w:val="008317EA"/>
    <w:rsid w:val="00831895"/>
    <w:rsid w:val="00831C07"/>
    <w:rsid w:val="00831EE1"/>
    <w:rsid w:val="00831F87"/>
    <w:rsid w:val="00831FE6"/>
    <w:rsid w:val="00832093"/>
    <w:rsid w:val="0083212A"/>
    <w:rsid w:val="008321A2"/>
    <w:rsid w:val="0083264A"/>
    <w:rsid w:val="00832782"/>
    <w:rsid w:val="00832826"/>
    <w:rsid w:val="00832833"/>
    <w:rsid w:val="00832CE2"/>
    <w:rsid w:val="0083311E"/>
    <w:rsid w:val="00833581"/>
    <w:rsid w:val="00834205"/>
    <w:rsid w:val="0083426C"/>
    <w:rsid w:val="0083431F"/>
    <w:rsid w:val="00834371"/>
    <w:rsid w:val="00834561"/>
    <w:rsid w:val="00834997"/>
    <w:rsid w:val="00834AB2"/>
    <w:rsid w:val="00834CC0"/>
    <w:rsid w:val="00834FAC"/>
    <w:rsid w:val="008350DE"/>
    <w:rsid w:val="00835131"/>
    <w:rsid w:val="008351B3"/>
    <w:rsid w:val="00835655"/>
    <w:rsid w:val="0083573D"/>
    <w:rsid w:val="00835814"/>
    <w:rsid w:val="00835848"/>
    <w:rsid w:val="00835871"/>
    <w:rsid w:val="00835ADC"/>
    <w:rsid w:val="00835BB9"/>
    <w:rsid w:val="00835DF4"/>
    <w:rsid w:val="00835FEC"/>
    <w:rsid w:val="0083628D"/>
    <w:rsid w:val="008363EC"/>
    <w:rsid w:val="008365D8"/>
    <w:rsid w:val="00836726"/>
    <w:rsid w:val="0083679F"/>
    <w:rsid w:val="008367E6"/>
    <w:rsid w:val="00836804"/>
    <w:rsid w:val="00836A5D"/>
    <w:rsid w:val="00836AE3"/>
    <w:rsid w:val="00836AE7"/>
    <w:rsid w:val="00836B72"/>
    <w:rsid w:val="00836C13"/>
    <w:rsid w:val="00836CAE"/>
    <w:rsid w:val="00836DA3"/>
    <w:rsid w:val="00836DA4"/>
    <w:rsid w:val="00836FC5"/>
    <w:rsid w:val="008370D5"/>
    <w:rsid w:val="00837252"/>
    <w:rsid w:val="008373D7"/>
    <w:rsid w:val="00837423"/>
    <w:rsid w:val="008378FE"/>
    <w:rsid w:val="00837910"/>
    <w:rsid w:val="00837A1E"/>
    <w:rsid w:val="00837BC2"/>
    <w:rsid w:val="00837D03"/>
    <w:rsid w:val="00837E91"/>
    <w:rsid w:val="00837EEA"/>
    <w:rsid w:val="00840245"/>
    <w:rsid w:val="008407E3"/>
    <w:rsid w:val="0084084E"/>
    <w:rsid w:val="008408E9"/>
    <w:rsid w:val="008408FD"/>
    <w:rsid w:val="00840C36"/>
    <w:rsid w:val="00840C60"/>
    <w:rsid w:val="00840DB1"/>
    <w:rsid w:val="00840FC5"/>
    <w:rsid w:val="00840FCC"/>
    <w:rsid w:val="008410E7"/>
    <w:rsid w:val="0084127B"/>
    <w:rsid w:val="008413A2"/>
    <w:rsid w:val="0084141E"/>
    <w:rsid w:val="0084141F"/>
    <w:rsid w:val="008415D5"/>
    <w:rsid w:val="00841787"/>
    <w:rsid w:val="008417C3"/>
    <w:rsid w:val="00841816"/>
    <w:rsid w:val="008418FD"/>
    <w:rsid w:val="0084198D"/>
    <w:rsid w:val="00841BB2"/>
    <w:rsid w:val="00841C78"/>
    <w:rsid w:val="00842049"/>
    <w:rsid w:val="0084225E"/>
    <w:rsid w:val="008423F3"/>
    <w:rsid w:val="0084243F"/>
    <w:rsid w:val="00842452"/>
    <w:rsid w:val="00842500"/>
    <w:rsid w:val="00842537"/>
    <w:rsid w:val="008425FE"/>
    <w:rsid w:val="0084269A"/>
    <w:rsid w:val="008428A5"/>
    <w:rsid w:val="008428A9"/>
    <w:rsid w:val="008429D4"/>
    <w:rsid w:val="00842BF1"/>
    <w:rsid w:val="00842D4E"/>
    <w:rsid w:val="00842DAC"/>
    <w:rsid w:val="00842DCD"/>
    <w:rsid w:val="00842E99"/>
    <w:rsid w:val="0084300D"/>
    <w:rsid w:val="00843035"/>
    <w:rsid w:val="00843185"/>
    <w:rsid w:val="008431BA"/>
    <w:rsid w:val="008431CC"/>
    <w:rsid w:val="008432F0"/>
    <w:rsid w:val="008437B8"/>
    <w:rsid w:val="008437DA"/>
    <w:rsid w:val="00843A43"/>
    <w:rsid w:val="00843B94"/>
    <w:rsid w:val="00843BBB"/>
    <w:rsid w:val="00843F65"/>
    <w:rsid w:val="00843FE9"/>
    <w:rsid w:val="008443D0"/>
    <w:rsid w:val="008444CC"/>
    <w:rsid w:val="00844724"/>
    <w:rsid w:val="00844828"/>
    <w:rsid w:val="00844857"/>
    <w:rsid w:val="0084495B"/>
    <w:rsid w:val="008449B7"/>
    <w:rsid w:val="00844A03"/>
    <w:rsid w:val="00844B15"/>
    <w:rsid w:val="00844D6B"/>
    <w:rsid w:val="00844F23"/>
    <w:rsid w:val="00844F74"/>
    <w:rsid w:val="00844FB9"/>
    <w:rsid w:val="00845101"/>
    <w:rsid w:val="008451E8"/>
    <w:rsid w:val="008454AF"/>
    <w:rsid w:val="008454EA"/>
    <w:rsid w:val="008455EB"/>
    <w:rsid w:val="008456A3"/>
    <w:rsid w:val="008457AF"/>
    <w:rsid w:val="00845C6C"/>
    <w:rsid w:val="00845D79"/>
    <w:rsid w:val="00845DA4"/>
    <w:rsid w:val="00845EB2"/>
    <w:rsid w:val="00845F43"/>
    <w:rsid w:val="00846383"/>
    <w:rsid w:val="008464A2"/>
    <w:rsid w:val="008464A5"/>
    <w:rsid w:val="00846637"/>
    <w:rsid w:val="008468A3"/>
    <w:rsid w:val="00846D28"/>
    <w:rsid w:val="00846D36"/>
    <w:rsid w:val="00846DA9"/>
    <w:rsid w:val="00846F27"/>
    <w:rsid w:val="00846F5F"/>
    <w:rsid w:val="00846FC6"/>
    <w:rsid w:val="00847042"/>
    <w:rsid w:val="00847180"/>
    <w:rsid w:val="00847475"/>
    <w:rsid w:val="0084754A"/>
    <w:rsid w:val="00847611"/>
    <w:rsid w:val="00847AF5"/>
    <w:rsid w:val="00847DF6"/>
    <w:rsid w:val="00847E27"/>
    <w:rsid w:val="0085037E"/>
    <w:rsid w:val="00850441"/>
    <w:rsid w:val="00850642"/>
    <w:rsid w:val="008506BD"/>
    <w:rsid w:val="008506F8"/>
    <w:rsid w:val="008507CE"/>
    <w:rsid w:val="00850A2A"/>
    <w:rsid w:val="00850A2E"/>
    <w:rsid w:val="00850B0C"/>
    <w:rsid w:val="00850DEF"/>
    <w:rsid w:val="0085101C"/>
    <w:rsid w:val="0085115E"/>
    <w:rsid w:val="0085123F"/>
    <w:rsid w:val="00851341"/>
    <w:rsid w:val="00851D23"/>
    <w:rsid w:val="00852090"/>
    <w:rsid w:val="008520F8"/>
    <w:rsid w:val="00852293"/>
    <w:rsid w:val="008522E7"/>
    <w:rsid w:val="00852322"/>
    <w:rsid w:val="00852583"/>
    <w:rsid w:val="008525CA"/>
    <w:rsid w:val="00852642"/>
    <w:rsid w:val="008527BD"/>
    <w:rsid w:val="00852AA7"/>
    <w:rsid w:val="00852AA8"/>
    <w:rsid w:val="00852D5F"/>
    <w:rsid w:val="00852DF8"/>
    <w:rsid w:val="00852E0F"/>
    <w:rsid w:val="00852E25"/>
    <w:rsid w:val="00852E76"/>
    <w:rsid w:val="00852F23"/>
    <w:rsid w:val="00852FB2"/>
    <w:rsid w:val="0085301D"/>
    <w:rsid w:val="00853191"/>
    <w:rsid w:val="0085330D"/>
    <w:rsid w:val="0085352E"/>
    <w:rsid w:val="0085359E"/>
    <w:rsid w:val="00853603"/>
    <w:rsid w:val="00853756"/>
    <w:rsid w:val="00853959"/>
    <w:rsid w:val="00853995"/>
    <w:rsid w:val="00853ABA"/>
    <w:rsid w:val="00853C48"/>
    <w:rsid w:val="00853D50"/>
    <w:rsid w:val="00853D54"/>
    <w:rsid w:val="00853DA2"/>
    <w:rsid w:val="00853DDC"/>
    <w:rsid w:val="00853FCB"/>
    <w:rsid w:val="008543E8"/>
    <w:rsid w:val="0085487C"/>
    <w:rsid w:val="00854986"/>
    <w:rsid w:val="008549A5"/>
    <w:rsid w:val="00854D3D"/>
    <w:rsid w:val="00854DE0"/>
    <w:rsid w:val="008550AD"/>
    <w:rsid w:val="0085517F"/>
    <w:rsid w:val="00855608"/>
    <w:rsid w:val="008559C9"/>
    <w:rsid w:val="00855B00"/>
    <w:rsid w:val="00855C68"/>
    <w:rsid w:val="00855C8A"/>
    <w:rsid w:val="00855E0A"/>
    <w:rsid w:val="00855E4D"/>
    <w:rsid w:val="00856002"/>
    <w:rsid w:val="008560D0"/>
    <w:rsid w:val="008560F5"/>
    <w:rsid w:val="0085642A"/>
    <w:rsid w:val="008564B2"/>
    <w:rsid w:val="008564F7"/>
    <w:rsid w:val="00856625"/>
    <w:rsid w:val="0085664C"/>
    <w:rsid w:val="00856912"/>
    <w:rsid w:val="00856B53"/>
    <w:rsid w:val="00856B7D"/>
    <w:rsid w:val="00856FB0"/>
    <w:rsid w:val="008570AE"/>
    <w:rsid w:val="008570B2"/>
    <w:rsid w:val="008570C4"/>
    <w:rsid w:val="00857520"/>
    <w:rsid w:val="00857649"/>
    <w:rsid w:val="008576B2"/>
    <w:rsid w:val="0085784D"/>
    <w:rsid w:val="00857865"/>
    <w:rsid w:val="00857913"/>
    <w:rsid w:val="0085792C"/>
    <w:rsid w:val="00857984"/>
    <w:rsid w:val="00857A5F"/>
    <w:rsid w:val="00857B73"/>
    <w:rsid w:val="00857C48"/>
    <w:rsid w:val="00857D22"/>
    <w:rsid w:val="00857D4F"/>
    <w:rsid w:val="00857F50"/>
    <w:rsid w:val="008600CA"/>
    <w:rsid w:val="0086010E"/>
    <w:rsid w:val="00860312"/>
    <w:rsid w:val="0086039E"/>
    <w:rsid w:val="0086045A"/>
    <w:rsid w:val="008604E1"/>
    <w:rsid w:val="00860553"/>
    <w:rsid w:val="00860641"/>
    <w:rsid w:val="008606EF"/>
    <w:rsid w:val="0086092C"/>
    <w:rsid w:val="00860962"/>
    <w:rsid w:val="008609E8"/>
    <w:rsid w:val="00860A1E"/>
    <w:rsid w:val="00860AC3"/>
    <w:rsid w:val="00860BA2"/>
    <w:rsid w:val="00860BAD"/>
    <w:rsid w:val="00860D05"/>
    <w:rsid w:val="00860DB2"/>
    <w:rsid w:val="00860E43"/>
    <w:rsid w:val="0086104E"/>
    <w:rsid w:val="00861177"/>
    <w:rsid w:val="0086117B"/>
    <w:rsid w:val="00861193"/>
    <w:rsid w:val="0086122E"/>
    <w:rsid w:val="00861BFE"/>
    <w:rsid w:val="00861D78"/>
    <w:rsid w:val="0086202A"/>
    <w:rsid w:val="00862311"/>
    <w:rsid w:val="008628EB"/>
    <w:rsid w:val="00862A41"/>
    <w:rsid w:val="00862AF9"/>
    <w:rsid w:val="00862B06"/>
    <w:rsid w:val="00862FEB"/>
    <w:rsid w:val="00862FF6"/>
    <w:rsid w:val="0086338E"/>
    <w:rsid w:val="008633BB"/>
    <w:rsid w:val="0086345C"/>
    <w:rsid w:val="008634C0"/>
    <w:rsid w:val="00863518"/>
    <w:rsid w:val="00863542"/>
    <w:rsid w:val="00863565"/>
    <w:rsid w:val="0086372D"/>
    <w:rsid w:val="008637C8"/>
    <w:rsid w:val="0086386A"/>
    <w:rsid w:val="008639CC"/>
    <w:rsid w:val="00863C7C"/>
    <w:rsid w:val="00863CFD"/>
    <w:rsid w:val="0086444F"/>
    <w:rsid w:val="00864565"/>
    <w:rsid w:val="00864B3D"/>
    <w:rsid w:val="00864C2E"/>
    <w:rsid w:val="00864CAA"/>
    <w:rsid w:val="00864E97"/>
    <w:rsid w:val="00864EBF"/>
    <w:rsid w:val="00864F68"/>
    <w:rsid w:val="00865097"/>
    <w:rsid w:val="00865153"/>
    <w:rsid w:val="0086516C"/>
    <w:rsid w:val="00865286"/>
    <w:rsid w:val="0086532F"/>
    <w:rsid w:val="00865491"/>
    <w:rsid w:val="00865581"/>
    <w:rsid w:val="00865851"/>
    <w:rsid w:val="00865DE9"/>
    <w:rsid w:val="00865E10"/>
    <w:rsid w:val="00865EAC"/>
    <w:rsid w:val="00865F07"/>
    <w:rsid w:val="008660A6"/>
    <w:rsid w:val="0086627A"/>
    <w:rsid w:val="00866493"/>
    <w:rsid w:val="008665F1"/>
    <w:rsid w:val="0086690E"/>
    <w:rsid w:val="00866A60"/>
    <w:rsid w:val="00866BAC"/>
    <w:rsid w:val="00866D90"/>
    <w:rsid w:val="00866E17"/>
    <w:rsid w:val="00866F32"/>
    <w:rsid w:val="00867158"/>
    <w:rsid w:val="008674C6"/>
    <w:rsid w:val="0086762C"/>
    <w:rsid w:val="008676AD"/>
    <w:rsid w:val="008676DB"/>
    <w:rsid w:val="00867727"/>
    <w:rsid w:val="00867A32"/>
    <w:rsid w:val="00867AA0"/>
    <w:rsid w:val="00867CBA"/>
    <w:rsid w:val="00867D36"/>
    <w:rsid w:val="00870228"/>
    <w:rsid w:val="00870380"/>
    <w:rsid w:val="008703FC"/>
    <w:rsid w:val="00870403"/>
    <w:rsid w:val="008704A1"/>
    <w:rsid w:val="008704E8"/>
    <w:rsid w:val="00870640"/>
    <w:rsid w:val="008706FC"/>
    <w:rsid w:val="00870750"/>
    <w:rsid w:val="0087085B"/>
    <w:rsid w:val="0087098E"/>
    <w:rsid w:val="00870B45"/>
    <w:rsid w:val="00870E9F"/>
    <w:rsid w:val="00870F14"/>
    <w:rsid w:val="0087113E"/>
    <w:rsid w:val="00871212"/>
    <w:rsid w:val="00871434"/>
    <w:rsid w:val="00871455"/>
    <w:rsid w:val="00871520"/>
    <w:rsid w:val="0087158D"/>
    <w:rsid w:val="0087160B"/>
    <w:rsid w:val="008718B3"/>
    <w:rsid w:val="008719E3"/>
    <w:rsid w:val="00871C05"/>
    <w:rsid w:val="00871D12"/>
    <w:rsid w:val="00871DEF"/>
    <w:rsid w:val="00871EE6"/>
    <w:rsid w:val="00872230"/>
    <w:rsid w:val="0087228B"/>
    <w:rsid w:val="008725A3"/>
    <w:rsid w:val="0087269F"/>
    <w:rsid w:val="0087271D"/>
    <w:rsid w:val="0087285F"/>
    <w:rsid w:val="0087293D"/>
    <w:rsid w:val="008729DA"/>
    <w:rsid w:val="00872AD8"/>
    <w:rsid w:val="00872D69"/>
    <w:rsid w:val="008730D8"/>
    <w:rsid w:val="00873126"/>
    <w:rsid w:val="00873361"/>
    <w:rsid w:val="008733A4"/>
    <w:rsid w:val="00873480"/>
    <w:rsid w:val="0087351E"/>
    <w:rsid w:val="00873636"/>
    <w:rsid w:val="00873720"/>
    <w:rsid w:val="00873741"/>
    <w:rsid w:val="00873913"/>
    <w:rsid w:val="00873B16"/>
    <w:rsid w:val="00873C38"/>
    <w:rsid w:val="00874114"/>
    <w:rsid w:val="0087412D"/>
    <w:rsid w:val="00874192"/>
    <w:rsid w:val="0087421C"/>
    <w:rsid w:val="008745AB"/>
    <w:rsid w:val="00874872"/>
    <w:rsid w:val="008748E3"/>
    <w:rsid w:val="00874D0F"/>
    <w:rsid w:val="00874D1D"/>
    <w:rsid w:val="00874FF1"/>
    <w:rsid w:val="008751EC"/>
    <w:rsid w:val="00875413"/>
    <w:rsid w:val="00875419"/>
    <w:rsid w:val="00875657"/>
    <w:rsid w:val="00875705"/>
    <w:rsid w:val="0087575F"/>
    <w:rsid w:val="00875817"/>
    <w:rsid w:val="00875899"/>
    <w:rsid w:val="0087591B"/>
    <w:rsid w:val="00875AE5"/>
    <w:rsid w:val="00875BF1"/>
    <w:rsid w:val="00875C84"/>
    <w:rsid w:val="00875E56"/>
    <w:rsid w:val="0087606C"/>
    <w:rsid w:val="00876495"/>
    <w:rsid w:val="008766CD"/>
    <w:rsid w:val="00876759"/>
    <w:rsid w:val="0087686F"/>
    <w:rsid w:val="00876972"/>
    <w:rsid w:val="00876A2B"/>
    <w:rsid w:val="00876A71"/>
    <w:rsid w:val="00876AB9"/>
    <w:rsid w:val="00876B9C"/>
    <w:rsid w:val="00876CDD"/>
    <w:rsid w:val="00876DE8"/>
    <w:rsid w:val="00876F7E"/>
    <w:rsid w:val="008772BA"/>
    <w:rsid w:val="008774BD"/>
    <w:rsid w:val="00877704"/>
    <w:rsid w:val="0087775A"/>
    <w:rsid w:val="008803C2"/>
    <w:rsid w:val="008803C7"/>
    <w:rsid w:val="00880757"/>
    <w:rsid w:val="00880862"/>
    <w:rsid w:val="00880871"/>
    <w:rsid w:val="008808C9"/>
    <w:rsid w:val="00880A52"/>
    <w:rsid w:val="00880B58"/>
    <w:rsid w:val="00880E5E"/>
    <w:rsid w:val="00880E6E"/>
    <w:rsid w:val="00881085"/>
    <w:rsid w:val="008812CC"/>
    <w:rsid w:val="0088155A"/>
    <w:rsid w:val="0088157C"/>
    <w:rsid w:val="0088162E"/>
    <w:rsid w:val="00881848"/>
    <w:rsid w:val="00881875"/>
    <w:rsid w:val="00881E60"/>
    <w:rsid w:val="00881F81"/>
    <w:rsid w:val="00882262"/>
    <w:rsid w:val="008823E6"/>
    <w:rsid w:val="00882426"/>
    <w:rsid w:val="008824CD"/>
    <w:rsid w:val="0088265F"/>
    <w:rsid w:val="00882672"/>
    <w:rsid w:val="00883253"/>
    <w:rsid w:val="008835E4"/>
    <w:rsid w:val="0088375E"/>
    <w:rsid w:val="00883816"/>
    <w:rsid w:val="00883BAA"/>
    <w:rsid w:val="00883C76"/>
    <w:rsid w:val="00883CC2"/>
    <w:rsid w:val="00883E42"/>
    <w:rsid w:val="00883FC1"/>
    <w:rsid w:val="00884260"/>
    <w:rsid w:val="008842C2"/>
    <w:rsid w:val="00884362"/>
    <w:rsid w:val="0088442C"/>
    <w:rsid w:val="008844B0"/>
    <w:rsid w:val="008845A9"/>
    <w:rsid w:val="008849AB"/>
    <w:rsid w:val="00884C1D"/>
    <w:rsid w:val="00884CCA"/>
    <w:rsid w:val="00884E3D"/>
    <w:rsid w:val="00884F4E"/>
    <w:rsid w:val="00884F9E"/>
    <w:rsid w:val="00885009"/>
    <w:rsid w:val="0088504F"/>
    <w:rsid w:val="0088510D"/>
    <w:rsid w:val="008853D7"/>
    <w:rsid w:val="00885405"/>
    <w:rsid w:val="00885469"/>
    <w:rsid w:val="00885781"/>
    <w:rsid w:val="008858D1"/>
    <w:rsid w:val="00885A33"/>
    <w:rsid w:val="00885B4C"/>
    <w:rsid w:val="00885D1F"/>
    <w:rsid w:val="00885E38"/>
    <w:rsid w:val="00885F97"/>
    <w:rsid w:val="00886251"/>
    <w:rsid w:val="008863A0"/>
    <w:rsid w:val="008864B8"/>
    <w:rsid w:val="00886565"/>
    <w:rsid w:val="0088682B"/>
    <w:rsid w:val="008868FE"/>
    <w:rsid w:val="00886B06"/>
    <w:rsid w:val="00886B2E"/>
    <w:rsid w:val="00886D42"/>
    <w:rsid w:val="00886E5B"/>
    <w:rsid w:val="00886F9C"/>
    <w:rsid w:val="00887013"/>
    <w:rsid w:val="008870CA"/>
    <w:rsid w:val="0088738E"/>
    <w:rsid w:val="008877A2"/>
    <w:rsid w:val="008877C6"/>
    <w:rsid w:val="008879D8"/>
    <w:rsid w:val="008879F6"/>
    <w:rsid w:val="008879FB"/>
    <w:rsid w:val="00887CB4"/>
    <w:rsid w:val="00887E02"/>
    <w:rsid w:val="00887E75"/>
    <w:rsid w:val="008900B7"/>
    <w:rsid w:val="00890292"/>
    <w:rsid w:val="008902C6"/>
    <w:rsid w:val="00890339"/>
    <w:rsid w:val="0089072E"/>
    <w:rsid w:val="00890761"/>
    <w:rsid w:val="00890AF6"/>
    <w:rsid w:val="00890F54"/>
    <w:rsid w:val="0089103A"/>
    <w:rsid w:val="0089106D"/>
    <w:rsid w:val="008914CB"/>
    <w:rsid w:val="008915F1"/>
    <w:rsid w:val="00891A5F"/>
    <w:rsid w:val="00891B84"/>
    <w:rsid w:val="00891C54"/>
    <w:rsid w:val="00891DB8"/>
    <w:rsid w:val="00891FFF"/>
    <w:rsid w:val="0089264F"/>
    <w:rsid w:val="008926E2"/>
    <w:rsid w:val="00892770"/>
    <w:rsid w:val="00892886"/>
    <w:rsid w:val="0089293E"/>
    <w:rsid w:val="00892980"/>
    <w:rsid w:val="008929F4"/>
    <w:rsid w:val="00892A15"/>
    <w:rsid w:val="00892C59"/>
    <w:rsid w:val="00892DB4"/>
    <w:rsid w:val="00892EAB"/>
    <w:rsid w:val="00892F61"/>
    <w:rsid w:val="00893389"/>
    <w:rsid w:val="008934F0"/>
    <w:rsid w:val="00893735"/>
    <w:rsid w:val="008937E3"/>
    <w:rsid w:val="008938AF"/>
    <w:rsid w:val="00893961"/>
    <w:rsid w:val="008939BC"/>
    <w:rsid w:val="00893B88"/>
    <w:rsid w:val="00893DAE"/>
    <w:rsid w:val="00893DDF"/>
    <w:rsid w:val="0089417E"/>
    <w:rsid w:val="0089430A"/>
    <w:rsid w:val="008944DF"/>
    <w:rsid w:val="008945F0"/>
    <w:rsid w:val="008947DD"/>
    <w:rsid w:val="008948BF"/>
    <w:rsid w:val="0089495B"/>
    <w:rsid w:val="00894A54"/>
    <w:rsid w:val="00894BC6"/>
    <w:rsid w:val="00894F4B"/>
    <w:rsid w:val="008951DB"/>
    <w:rsid w:val="00895215"/>
    <w:rsid w:val="008952BF"/>
    <w:rsid w:val="008952D0"/>
    <w:rsid w:val="0089554A"/>
    <w:rsid w:val="008956B8"/>
    <w:rsid w:val="008956C7"/>
    <w:rsid w:val="008958A4"/>
    <w:rsid w:val="008958DD"/>
    <w:rsid w:val="008959F8"/>
    <w:rsid w:val="00895C2E"/>
    <w:rsid w:val="00895CF1"/>
    <w:rsid w:val="00895D75"/>
    <w:rsid w:val="00895F1D"/>
    <w:rsid w:val="00895F78"/>
    <w:rsid w:val="00895FD6"/>
    <w:rsid w:val="008960F9"/>
    <w:rsid w:val="0089613C"/>
    <w:rsid w:val="008961E6"/>
    <w:rsid w:val="0089624E"/>
    <w:rsid w:val="00896383"/>
    <w:rsid w:val="008965F9"/>
    <w:rsid w:val="008965FA"/>
    <w:rsid w:val="00896664"/>
    <w:rsid w:val="008967C4"/>
    <w:rsid w:val="00896831"/>
    <w:rsid w:val="008968D7"/>
    <w:rsid w:val="00896A88"/>
    <w:rsid w:val="00896A94"/>
    <w:rsid w:val="00896B3B"/>
    <w:rsid w:val="00896C3E"/>
    <w:rsid w:val="00896E9B"/>
    <w:rsid w:val="00897074"/>
    <w:rsid w:val="0089717B"/>
    <w:rsid w:val="0089750A"/>
    <w:rsid w:val="008975A8"/>
    <w:rsid w:val="008978C4"/>
    <w:rsid w:val="0089793D"/>
    <w:rsid w:val="00897968"/>
    <w:rsid w:val="00897D52"/>
    <w:rsid w:val="00897DB8"/>
    <w:rsid w:val="00897E29"/>
    <w:rsid w:val="00897FAF"/>
    <w:rsid w:val="008A0066"/>
    <w:rsid w:val="008A0089"/>
    <w:rsid w:val="008A043D"/>
    <w:rsid w:val="008A0534"/>
    <w:rsid w:val="008A05C4"/>
    <w:rsid w:val="008A06F8"/>
    <w:rsid w:val="008A0B4F"/>
    <w:rsid w:val="008A0BB4"/>
    <w:rsid w:val="008A0E6B"/>
    <w:rsid w:val="008A105A"/>
    <w:rsid w:val="008A1218"/>
    <w:rsid w:val="008A13C6"/>
    <w:rsid w:val="008A1571"/>
    <w:rsid w:val="008A1865"/>
    <w:rsid w:val="008A18DF"/>
    <w:rsid w:val="008A1D19"/>
    <w:rsid w:val="008A1E47"/>
    <w:rsid w:val="008A1EAB"/>
    <w:rsid w:val="008A1F1E"/>
    <w:rsid w:val="008A1F6C"/>
    <w:rsid w:val="008A1FB3"/>
    <w:rsid w:val="008A20A2"/>
    <w:rsid w:val="008A20D7"/>
    <w:rsid w:val="008A21B3"/>
    <w:rsid w:val="008A21C0"/>
    <w:rsid w:val="008A220F"/>
    <w:rsid w:val="008A2245"/>
    <w:rsid w:val="008A2308"/>
    <w:rsid w:val="008A24EC"/>
    <w:rsid w:val="008A25C7"/>
    <w:rsid w:val="008A2791"/>
    <w:rsid w:val="008A28F3"/>
    <w:rsid w:val="008A2AF8"/>
    <w:rsid w:val="008A2C5B"/>
    <w:rsid w:val="008A2CED"/>
    <w:rsid w:val="008A2D76"/>
    <w:rsid w:val="008A2FE8"/>
    <w:rsid w:val="008A307A"/>
    <w:rsid w:val="008A31AE"/>
    <w:rsid w:val="008A3358"/>
    <w:rsid w:val="008A34A7"/>
    <w:rsid w:val="008A37EC"/>
    <w:rsid w:val="008A389D"/>
    <w:rsid w:val="008A38D7"/>
    <w:rsid w:val="008A3C9D"/>
    <w:rsid w:val="008A3D85"/>
    <w:rsid w:val="008A3F6E"/>
    <w:rsid w:val="008A4016"/>
    <w:rsid w:val="008A4117"/>
    <w:rsid w:val="008A4136"/>
    <w:rsid w:val="008A4438"/>
    <w:rsid w:val="008A4568"/>
    <w:rsid w:val="008A45B5"/>
    <w:rsid w:val="008A4727"/>
    <w:rsid w:val="008A4739"/>
    <w:rsid w:val="008A4814"/>
    <w:rsid w:val="008A4E04"/>
    <w:rsid w:val="008A4EB6"/>
    <w:rsid w:val="008A51E6"/>
    <w:rsid w:val="008A52FE"/>
    <w:rsid w:val="008A543F"/>
    <w:rsid w:val="008A563E"/>
    <w:rsid w:val="008A56FC"/>
    <w:rsid w:val="008A5D46"/>
    <w:rsid w:val="008A5D63"/>
    <w:rsid w:val="008A5E8A"/>
    <w:rsid w:val="008A5F03"/>
    <w:rsid w:val="008A6272"/>
    <w:rsid w:val="008A6365"/>
    <w:rsid w:val="008A6404"/>
    <w:rsid w:val="008A643E"/>
    <w:rsid w:val="008A6452"/>
    <w:rsid w:val="008A6479"/>
    <w:rsid w:val="008A6788"/>
    <w:rsid w:val="008A69D0"/>
    <w:rsid w:val="008A6A33"/>
    <w:rsid w:val="008A6B3D"/>
    <w:rsid w:val="008A6B4F"/>
    <w:rsid w:val="008A6B5C"/>
    <w:rsid w:val="008A6DD2"/>
    <w:rsid w:val="008A6E5B"/>
    <w:rsid w:val="008A705D"/>
    <w:rsid w:val="008A725A"/>
    <w:rsid w:val="008A72C4"/>
    <w:rsid w:val="008A76C1"/>
    <w:rsid w:val="008A77C0"/>
    <w:rsid w:val="008A77EC"/>
    <w:rsid w:val="008A78DD"/>
    <w:rsid w:val="008A7FFE"/>
    <w:rsid w:val="008B0451"/>
    <w:rsid w:val="008B04AC"/>
    <w:rsid w:val="008B04F1"/>
    <w:rsid w:val="008B0596"/>
    <w:rsid w:val="008B07A8"/>
    <w:rsid w:val="008B0827"/>
    <w:rsid w:val="008B0A4A"/>
    <w:rsid w:val="008B0B5E"/>
    <w:rsid w:val="008B0F0B"/>
    <w:rsid w:val="008B0F55"/>
    <w:rsid w:val="008B1251"/>
    <w:rsid w:val="008B12AF"/>
    <w:rsid w:val="008B13F9"/>
    <w:rsid w:val="008B1538"/>
    <w:rsid w:val="008B15EE"/>
    <w:rsid w:val="008B16FB"/>
    <w:rsid w:val="008B1901"/>
    <w:rsid w:val="008B1AFF"/>
    <w:rsid w:val="008B1B35"/>
    <w:rsid w:val="008B1F5C"/>
    <w:rsid w:val="008B204F"/>
    <w:rsid w:val="008B20F1"/>
    <w:rsid w:val="008B2326"/>
    <w:rsid w:val="008B2504"/>
    <w:rsid w:val="008B27CC"/>
    <w:rsid w:val="008B2848"/>
    <w:rsid w:val="008B28E3"/>
    <w:rsid w:val="008B2BE1"/>
    <w:rsid w:val="008B2BE6"/>
    <w:rsid w:val="008B2DAC"/>
    <w:rsid w:val="008B2E13"/>
    <w:rsid w:val="008B2F0F"/>
    <w:rsid w:val="008B302C"/>
    <w:rsid w:val="008B31FF"/>
    <w:rsid w:val="008B34B8"/>
    <w:rsid w:val="008B34C9"/>
    <w:rsid w:val="008B34ED"/>
    <w:rsid w:val="008B36A5"/>
    <w:rsid w:val="008B3801"/>
    <w:rsid w:val="008B39BB"/>
    <w:rsid w:val="008B3BEB"/>
    <w:rsid w:val="008B3BED"/>
    <w:rsid w:val="008B3C85"/>
    <w:rsid w:val="008B3CD8"/>
    <w:rsid w:val="008B3DB5"/>
    <w:rsid w:val="008B3EBD"/>
    <w:rsid w:val="008B407E"/>
    <w:rsid w:val="008B4318"/>
    <w:rsid w:val="008B452E"/>
    <w:rsid w:val="008B45D6"/>
    <w:rsid w:val="008B46A1"/>
    <w:rsid w:val="008B47C1"/>
    <w:rsid w:val="008B47E6"/>
    <w:rsid w:val="008B47F3"/>
    <w:rsid w:val="008B4A0C"/>
    <w:rsid w:val="008B4A16"/>
    <w:rsid w:val="008B4B2B"/>
    <w:rsid w:val="008B4B71"/>
    <w:rsid w:val="008B4B79"/>
    <w:rsid w:val="008B4DD1"/>
    <w:rsid w:val="008B5158"/>
    <w:rsid w:val="008B51D5"/>
    <w:rsid w:val="008B51FA"/>
    <w:rsid w:val="008B521F"/>
    <w:rsid w:val="008B577D"/>
    <w:rsid w:val="008B585D"/>
    <w:rsid w:val="008B5896"/>
    <w:rsid w:val="008B5901"/>
    <w:rsid w:val="008B592D"/>
    <w:rsid w:val="008B5C91"/>
    <w:rsid w:val="008B5EB9"/>
    <w:rsid w:val="008B5F46"/>
    <w:rsid w:val="008B630D"/>
    <w:rsid w:val="008B694A"/>
    <w:rsid w:val="008B6B33"/>
    <w:rsid w:val="008B6C1B"/>
    <w:rsid w:val="008B6C8B"/>
    <w:rsid w:val="008B6EBB"/>
    <w:rsid w:val="008B7022"/>
    <w:rsid w:val="008B743A"/>
    <w:rsid w:val="008B74A9"/>
    <w:rsid w:val="008B74F7"/>
    <w:rsid w:val="008B7A29"/>
    <w:rsid w:val="008B7D30"/>
    <w:rsid w:val="008B7F45"/>
    <w:rsid w:val="008B7F80"/>
    <w:rsid w:val="008C001F"/>
    <w:rsid w:val="008C008E"/>
    <w:rsid w:val="008C0384"/>
    <w:rsid w:val="008C0543"/>
    <w:rsid w:val="008C0601"/>
    <w:rsid w:val="008C06F2"/>
    <w:rsid w:val="008C08C2"/>
    <w:rsid w:val="008C0902"/>
    <w:rsid w:val="008C0A5C"/>
    <w:rsid w:val="008C0BD5"/>
    <w:rsid w:val="008C0C1C"/>
    <w:rsid w:val="008C0C65"/>
    <w:rsid w:val="008C0D76"/>
    <w:rsid w:val="008C0D9D"/>
    <w:rsid w:val="008C0EDE"/>
    <w:rsid w:val="008C0FEB"/>
    <w:rsid w:val="008C12D5"/>
    <w:rsid w:val="008C13FB"/>
    <w:rsid w:val="008C149B"/>
    <w:rsid w:val="008C14C6"/>
    <w:rsid w:val="008C1632"/>
    <w:rsid w:val="008C186B"/>
    <w:rsid w:val="008C1ADE"/>
    <w:rsid w:val="008C1DF7"/>
    <w:rsid w:val="008C229D"/>
    <w:rsid w:val="008C2494"/>
    <w:rsid w:val="008C2835"/>
    <w:rsid w:val="008C29FF"/>
    <w:rsid w:val="008C2A64"/>
    <w:rsid w:val="008C2B6B"/>
    <w:rsid w:val="008C2C21"/>
    <w:rsid w:val="008C308D"/>
    <w:rsid w:val="008C313F"/>
    <w:rsid w:val="008C328C"/>
    <w:rsid w:val="008C3346"/>
    <w:rsid w:val="008C33CE"/>
    <w:rsid w:val="008C3602"/>
    <w:rsid w:val="008C3C12"/>
    <w:rsid w:val="008C3CA7"/>
    <w:rsid w:val="008C3F52"/>
    <w:rsid w:val="008C435B"/>
    <w:rsid w:val="008C4547"/>
    <w:rsid w:val="008C47C6"/>
    <w:rsid w:val="008C4EA0"/>
    <w:rsid w:val="008C4EBF"/>
    <w:rsid w:val="008C5093"/>
    <w:rsid w:val="008C51D1"/>
    <w:rsid w:val="008C5310"/>
    <w:rsid w:val="008C5349"/>
    <w:rsid w:val="008C53A1"/>
    <w:rsid w:val="008C53A6"/>
    <w:rsid w:val="008C56FC"/>
    <w:rsid w:val="008C57B3"/>
    <w:rsid w:val="008C5861"/>
    <w:rsid w:val="008C5895"/>
    <w:rsid w:val="008C5B24"/>
    <w:rsid w:val="008C5B66"/>
    <w:rsid w:val="008C5BBE"/>
    <w:rsid w:val="008C5C78"/>
    <w:rsid w:val="008C5E0E"/>
    <w:rsid w:val="008C5EF2"/>
    <w:rsid w:val="008C607F"/>
    <w:rsid w:val="008C61C6"/>
    <w:rsid w:val="008C6233"/>
    <w:rsid w:val="008C6559"/>
    <w:rsid w:val="008C657E"/>
    <w:rsid w:val="008C65FC"/>
    <w:rsid w:val="008C6AEC"/>
    <w:rsid w:val="008C6B19"/>
    <w:rsid w:val="008C6EBA"/>
    <w:rsid w:val="008C6F2E"/>
    <w:rsid w:val="008C7346"/>
    <w:rsid w:val="008C736B"/>
    <w:rsid w:val="008C762B"/>
    <w:rsid w:val="008C77DB"/>
    <w:rsid w:val="008C77F6"/>
    <w:rsid w:val="008C7B80"/>
    <w:rsid w:val="008C7CCE"/>
    <w:rsid w:val="008C7DB4"/>
    <w:rsid w:val="008C7DBA"/>
    <w:rsid w:val="008C7FC7"/>
    <w:rsid w:val="008C7FF3"/>
    <w:rsid w:val="008D01A4"/>
    <w:rsid w:val="008D026A"/>
    <w:rsid w:val="008D02F0"/>
    <w:rsid w:val="008D030F"/>
    <w:rsid w:val="008D03E1"/>
    <w:rsid w:val="008D0844"/>
    <w:rsid w:val="008D08E5"/>
    <w:rsid w:val="008D0AFC"/>
    <w:rsid w:val="008D0CAE"/>
    <w:rsid w:val="008D0DD6"/>
    <w:rsid w:val="008D0EC6"/>
    <w:rsid w:val="008D1333"/>
    <w:rsid w:val="008D133F"/>
    <w:rsid w:val="008D183C"/>
    <w:rsid w:val="008D19B0"/>
    <w:rsid w:val="008D1AC3"/>
    <w:rsid w:val="008D1B62"/>
    <w:rsid w:val="008D1BA5"/>
    <w:rsid w:val="008D1BF1"/>
    <w:rsid w:val="008D1D65"/>
    <w:rsid w:val="008D1D7F"/>
    <w:rsid w:val="008D1DDE"/>
    <w:rsid w:val="008D1EE3"/>
    <w:rsid w:val="008D1FF5"/>
    <w:rsid w:val="008D204E"/>
    <w:rsid w:val="008D20CB"/>
    <w:rsid w:val="008D20D4"/>
    <w:rsid w:val="008D2386"/>
    <w:rsid w:val="008D2657"/>
    <w:rsid w:val="008D2670"/>
    <w:rsid w:val="008D26B7"/>
    <w:rsid w:val="008D299B"/>
    <w:rsid w:val="008D29FF"/>
    <w:rsid w:val="008D2AB4"/>
    <w:rsid w:val="008D2B79"/>
    <w:rsid w:val="008D2BAB"/>
    <w:rsid w:val="008D2E78"/>
    <w:rsid w:val="008D2FB8"/>
    <w:rsid w:val="008D309E"/>
    <w:rsid w:val="008D3123"/>
    <w:rsid w:val="008D339D"/>
    <w:rsid w:val="008D33E3"/>
    <w:rsid w:val="008D343D"/>
    <w:rsid w:val="008D3531"/>
    <w:rsid w:val="008D35F7"/>
    <w:rsid w:val="008D3B0A"/>
    <w:rsid w:val="008D3BC9"/>
    <w:rsid w:val="008D3CF5"/>
    <w:rsid w:val="008D3DAD"/>
    <w:rsid w:val="008D3DBE"/>
    <w:rsid w:val="008D3DEE"/>
    <w:rsid w:val="008D4153"/>
    <w:rsid w:val="008D41FF"/>
    <w:rsid w:val="008D4343"/>
    <w:rsid w:val="008D46E4"/>
    <w:rsid w:val="008D4887"/>
    <w:rsid w:val="008D4A52"/>
    <w:rsid w:val="008D4BC8"/>
    <w:rsid w:val="008D4DD5"/>
    <w:rsid w:val="008D4FDE"/>
    <w:rsid w:val="008D5062"/>
    <w:rsid w:val="008D5436"/>
    <w:rsid w:val="008D55A7"/>
    <w:rsid w:val="008D57A6"/>
    <w:rsid w:val="008D5819"/>
    <w:rsid w:val="008D58B5"/>
    <w:rsid w:val="008D5974"/>
    <w:rsid w:val="008D5B37"/>
    <w:rsid w:val="008D5B96"/>
    <w:rsid w:val="008D5C03"/>
    <w:rsid w:val="008D5F45"/>
    <w:rsid w:val="008D5FF5"/>
    <w:rsid w:val="008D6045"/>
    <w:rsid w:val="008D625C"/>
    <w:rsid w:val="008D638A"/>
    <w:rsid w:val="008D6406"/>
    <w:rsid w:val="008D679E"/>
    <w:rsid w:val="008D683B"/>
    <w:rsid w:val="008D6BE1"/>
    <w:rsid w:val="008D6BFF"/>
    <w:rsid w:val="008D6E08"/>
    <w:rsid w:val="008D7002"/>
    <w:rsid w:val="008D7010"/>
    <w:rsid w:val="008D7566"/>
    <w:rsid w:val="008D7776"/>
    <w:rsid w:val="008D77E2"/>
    <w:rsid w:val="008D7A3F"/>
    <w:rsid w:val="008D7A54"/>
    <w:rsid w:val="008D7CC9"/>
    <w:rsid w:val="008D7D04"/>
    <w:rsid w:val="008D7EB5"/>
    <w:rsid w:val="008E036B"/>
    <w:rsid w:val="008E0553"/>
    <w:rsid w:val="008E0620"/>
    <w:rsid w:val="008E0799"/>
    <w:rsid w:val="008E0BD1"/>
    <w:rsid w:val="008E0DE7"/>
    <w:rsid w:val="008E102C"/>
    <w:rsid w:val="008E1163"/>
    <w:rsid w:val="008E1236"/>
    <w:rsid w:val="008E13A8"/>
    <w:rsid w:val="008E1582"/>
    <w:rsid w:val="008E15D6"/>
    <w:rsid w:val="008E160C"/>
    <w:rsid w:val="008E1634"/>
    <w:rsid w:val="008E16CB"/>
    <w:rsid w:val="008E1795"/>
    <w:rsid w:val="008E18A3"/>
    <w:rsid w:val="008E19C8"/>
    <w:rsid w:val="008E219C"/>
    <w:rsid w:val="008E21CF"/>
    <w:rsid w:val="008E2442"/>
    <w:rsid w:val="008E2501"/>
    <w:rsid w:val="008E2538"/>
    <w:rsid w:val="008E258A"/>
    <w:rsid w:val="008E27C4"/>
    <w:rsid w:val="008E2A59"/>
    <w:rsid w:val="008E2C44"/>
    <w:rsid w:val="008E2C66"/>
    <w:rsid w:val="008E2E27"/>
    <w:rsid w:val="008E2F33"/>
    <w:rsid w:val="008E3309"/>
    <w:rsid w:val="008E3530"/>
    <w:rsid w:val="008E3641"/>
    <w:rsid w:val="008E367A"/>
    <w:rsid w:val="008E37CD"/>
    <w:rsid w:val="008E3B95"/>
    <w:rsid w:val="008E3B9A"/>
    <w:rsid w:val="008E3BC4"/>
    <w:rsid w:val="008E3C7D"/>
    <w:rsid w:val="008E3DF4"/>
    <w:rsid w:val="008E3F3C"/>
    <w:rsid w:val="008E3F83"/>
    <w:rsid w:val="008E3F96"/>
    <w:rsid w:val="008E42A4"/>
    <w:rsid w:val="008E438A"/>
    <w:rsid w:val="008E44F3"/>
    <w:rsid w:val="008E453B"/>
    <w:rsid w:val="008E45F8"/>
    <w:rsid w:val="008E4644"/>
    <w:rsid w:val="008E49C5"/>
    <w:rsid w:val="008E4C48"/>
    <w:rsid w:val="008E4CE5"/>
    <w:rsid w:val="008E4FBB"/>
    <w:rsid w:val="008E5045"/>
    <w:rsid w:val="008E5127"/>
    <w:rsid w:val="008E5486"/>
    <w:rsid w:val="008E54C8"/>
    <w:rsid w:val="008E5525"/>
    <w:rsid w:val="008E55DE"/>
    <w:rsid w:val="008E560B"/>
    <w:rsid w:val="008E5957"/>
    <w:rsid w:val="008E5A77"/>
    <w:rsid w:val="008E5BB1"/>
    <w:rsid w:val="008E5CBA"/>
    <w:rsid w:val="008E5DB2"/>
    <w:rsid w:val="008E5E8D"/>
    <w:rsid w:val="008E6458"/>
    <w:rsid w:val="008E65E9"/>
    <w:rsid w:val="008E66BF"/>
    <w:rsid w:val="008E698D"/>
    <w:rsid w:val="008E69AF"/>
    <w:rsid w:val="008E69B6"/>
    <w:rsid w:val="008E6B00"/>
    <w:rsid w:val="008E6C23"/>
    <w:rsid w:val="008E6E44"/>
    <w:rsid w:val="008E734E"/>
    <w:rsid w:val="008E736F"/>
    <w:rsid w:val="008E73F1"/>
    <w:rsid w:val="008E7761"/>
    <w:rsid w:val="008E79E4"/>
    <w:rsid w:val="008E7E33"/>
    <w:rsid w:val="008F005C"/>
    <w:rsid w:val="008F03D7"/>
    <w:rsid w:val="008F03DF"/>
    <w:rsid w:val="008F03E4"/>
    <w:rsid w:val="008F042C"/>
    <w:rsid w:val="008F04DC"/>
    <w:rsid w:val="008F06ED"/>
    <w:rsid w:val="008F0B84"/>
    <w:rsid w:val="008F0BAA"/>
    <w:rsid w:val="008F0C2A"/>
    <w:rsid w:val="008F0C5A"/>
    <w:rsid w:val="008F0CAF"/>
    <w:rsid w:val="008F0DFE"/>
    <w:rsid w:val="008F0E8E"/>
    <w:rsid w:val="008F0F3A"/>
    <w:rsid w:val="008F0F3D"/>
    <w:rsid w:val="008F1349"/>
    <w:rsid w:val="008F1399"/>
    <w:rsid w:val="008F166E"/>
    <w:rsid w:val="008F187C"/>
    <w:rsid w:val="008F1A93"/>
    <w:rsid w:val="008F1ABB"/>
    <w:rsid w:val="008F1CEC"/>
    <w:rsid w:val="008F1D6B"/>
    <w:rsid w:val="008F1DEB"/>
    <w:rsid w:val="008F1EEC"/>
    <w:rsid w:val="008F2006"/>
    <w:rsid w:val="008F2468"/>
    <w:rsid w:val="008F26E3"/>
    <w:rsid w:val="008F2829"/>
    <w:rsid w:val="008F2B1D"/>
    <w:rsid w:val="008F2D2B"/>
    <w:rsid w:val="008F2D4D"/>
    <w:rsid w:val="008F2E7D"/>
    <w:rsid w:val="008F2E96"/>
    <w:rsid w:val="008F3012"/>
    <w:rsid w:val="008F30C7"/>
    <w:rsid w:val="008F33BA"/>
    <w:rsid w:val="008F34C2"/>
    <w:rsid w:val="008F357B"/>
    <w:rsid w:val="008F36B2"/>
    <w:rsid w:val="008F3727"/>
    <w:rsid w:val="008F3A4F"/>
    <w:rsid w:val="008F3C3D"/>
    <w:rsid w:val="008F3DA5"/>
    <w:rsid w:val="008F40E8"/>
    <w:rsid w:val="008F4229"/>
    <w:rsid w:val="008F44F1"/>
    <w:rsid w:val="008F483B"/>
    <w:rsid w:val="008F4955"/>
    <w:rsid w:val="008F4C02"/>
    <w:rsid w:val="008F4D12"/>
    <w:rsid w:val="008F5289"/>
    <w:rsid w:val="008F52F1"/>
    <w:rsid w:val="008F537F"/>
    <w:rsid w:val="008F53FB"/>
    <w:rsid w:val="008F5438"/>
    <w:rsid w:val="008F56B6"/>
    <w:rsid w:val="008F5C2D"/>
    <w:rsid w:val="008F5CCB"/>
    <w:rsid w:val="008F5DB9"/>
    <w:rsid w:val="008F5DFD"/>
    <w:rsid w:val="008F5F11"/>
    <w:rsid w:val="008F6114"/>
    <w:rsid w:val="008F615A"/>
    <w:rsid w:val="008F61C9"/>
    <w:rsid w:val="008F62C4"/>
    <w:rsid w:val="008F67E3"/>
    <w:rsid w:val="008F682A"/>
    <w:rsid w:val="008F6842"/>
    <w:rsid w:val="008F68BD"/>
    <w:rsid w:val="008F68C0"/>
    <w:rsid w:val="008F6BF4"/>
    <w:rsid w:val="008F6CA2"/>
    <w:rsid w:val="008F6D75"/>
    <w:rsid w:val="008F70B4"/>
    <w:rsid w:val="008F75CC"/>
    <w:rsid w:val="008F78DB"/>
    <w:rsid w:val="008F7927"/>
    <w:rsid w:val="008F7C90"/>
    <w:rsid w:val="008F7E63"/>
    <w:rsid w:val="008F7FA3"/>
    <w:rsid w:val="008F7FD1"/>
    <w:rsid w:val="0090028D"/>
    <w:rsid w:val="0090033F"/>
    <w:rsid w:val="00900692"/>
    <w:rsid w:val="0090087E"/>
    <w:rsid w:val="00900898"/>
    <w:rsid w:val="009008BC"/>
    <w:rsid w:val="00900B0E"/>
    <w:rsid w:val="00900C80"/>
    <w:rsid w:val="009011C6"/>
    <w:rsid w:val="00901263"/>
    <w:rsid w:val="009012E8"/>
    <w:rsid w:val="00901366"/>
    <w:rsid w:val="0090156C"/>
    <w:rsid w:val="0090161F"/>
    <w:rsid w:val="0090175C"/>
    <w:rsid w:val="009018FD"/>
    <w:rsid w:val="00901ADA"/>
    <w:rsid w:val="00901D09"/>
    <w:rsid w:val="00901ECD"/>
    <w:rsid w:val="00901F77"/>
    <w:rsid w:val="0090221C"/>
    <w:rsid w:val="00902250"/>
    <w:rsid w:val="0090237B"/>
    <w:rsid w:val="009023C9"/>
    <w:rsid w:val="0090292F"/>
    <w:rsid w:val="009029FE"/>
    <w:rsid w:val="00902A7B"/>
    <w:rsid w:val="00902AC6"/>
    <w:rsid w:val="00902B72"/>
    <w:rsid w:val="00902BCF"/>
    <w:rsid w:val="00902BE5"/>
    <w:rsid w:val="00902BF3"/>
    <w:rsid w:val="00902C19"/>
    <w:rsid w:val="00902D0F"/>
    <w:rsid w:val="00902D18"/>
    <w:rsid w:val="00902DB2"/>
    <w:rsid w:val="00902EA4"/>
    <w:rsid w:val="00903210"/>
    <w:rsid w:val="0090321C"/>
    <w:rsid w:val="009032F0"/>
    <w:rsid w:val="009034C2"/>
    <w:rsid w:val="0090359A"/>
    <w:rsid w:val="00903648"/>
    <w:rsid w:val="00903658"/>
    <w:rsid w:val="00903A82"/>
    <w:rsid w:val="00903A9A"/>
    <w:rsid w:val="00903AA7"/>
    <w:rsid w:val="0090414D"/>
    <w:rsid w:val="009042AE"/>
    <w:rsid w:val="009043F4"/>
    <w:rsid w:val="0090466B"/>
    <w:rsid w:val="00904878"/>
    <w:rsid w:val="009048DF"/>
    <w:rsid w:val="0090492D"/>
    <w:rsid w:val="00904B15"/>
    <w:rsid w:val="00904B82"/>
    <w:rsid w:val="00904DEF"/>
    <w:rsid w:val="0090508C"/>
    <w:rsid w:val="00905300"/>
    <w:rsid w:val="00905356"/>
    <w:rsid w:val="00905435"/>
    <w:rsid w:val="0090555F"/>
    <w:rsid w:val="0090573B"/>
    <w:rsid w:val="009059B2"/>
    <w:rsid w:val="00905B1B"/>
    <w:rsid w:val="00905CCB"/>
    <w:rsid w:val="00905CE9"/>
    <w:rsid w:val="00905DF8"/>
    <w:rsid w:val="009061DD"/>
    <w:rsid w:val="009063A5"/>
    <w:rsid w:val="00906412"/>
    <w:rsid w:val="009065A2"/>
    <w:rsid w:val="00906614"/>
    <w:rsid w:val="00906676"/>
    <w:rsid w:val="00906692"/>
    <w:rsid w:val="00906838"/>
    <w:rsid w:val="00906B63"/>
    <w:rsid w:val="00906B95"/>
    <w:rsid w:val="00906EE1"/>
    <w:rsid w:val="00906F2B"/>
    <w:rsid w:val="00907145"/>
    <w:rsid w:val="009078A9"/>
    <w:rsid w:val="00907960"/>
    <w:rsid w:val="00907A2D"/>
    <w:rsid w:val="00907A52"/>
    <w:rsid w:val="00907B0F"/>
    <w:rsid w:val="00907EE6"/>
    <w:rsid w:val="0091000E"/>
    <w:rsid w:val="009100DA"/>
    <w:rsid w:val="00910195"/>
    <w:rsid w:val="00910336"/>
    <w:rsid w:val="0091038F"/>
    <w:rsid w:val="00910411"/>
    <w:rsid w:val="00910419"/>
    <w:rsid w:val="00910439"/>
    <w:rsid w:val="009106AD"/>
    <w:rsid w:val="0091082E"/>
    <w:rsid w:val="00910924"/>
    <w:rsid w:val="00910974"/>
    <w:rsid w:val="0091098D"/>
    <w:rsid w:val="00910B74"/>
    <w:rsid w:val="00910D4B"/>
    <w:rsid w:val="00910E8C"/>
    <w:rsid w:val="00910EE8"/>
    <w:rsid w:val="00910EEC"/>
    <w:rsid w:val="00910F10"/>
    <w:rsid w:val="00911268"/>
    <w:rsid w:val="009112BE"/>
    <w:rsid w:val="0091145C"/>
    <w:rsid w:val="00911461"/>
    <w:rsid w:val="0091158C"/>
    <w:rsid w:val="009115A3"/>
    <w:rsid w:val="00911676"/>
    <w:rsid w:val="009118B7"/>
    <w:rsid w:val="00911E56"/>
    <w:rsid w:val="0091221F"/>
    <w:rsid w:val="00912409"/>
    <w:rsid w:val="00912646"/>
    <w:rsid w:val="00912650"/>
    <w:rsid w:val="00912827"/>
    <w:rsid w:val="00912830"/>
    <w:rsid w:val="00912AAA"/>
    <w:rsid w:val="00912B0B"/>
    <w:rsid w:val="00912CC9"/>
    <w:rsid w:val="009134B5"/>
    <w:rsid w:val="0091368A"/>
    <w:rsid w:val="00913788"/>
    <w:rsid w:val="00913831"/>
    <w:rsid w:val="009138CA"/>
    <w:rsid w:val="00913929"/>
    <w:rsid w:val="00913B2D"/>
    <w:rsid w:val="00913B53"/>
    <w:rsid w:val="00913CA7"/>
    <w:rsid w:val="00913D18"/>
    <w:rsid w:val="00913DC7"/>
    <w:rsid w:val="00913DF0"/>
    <w:rsid w:val="00913E30"/>
    <w:rsid w:val="00913E4F"/>
    <w:rsid w:val="00913E55"/>
    <w:rsid w:val="009140E4"/>
    <w:rsid w:val="00914211"/>
    <w:rsid w:val="0091427D"/>
    <w:rsid w:val="00914480"/>
    <w:rsid w:val="00914550"/>
    <w:rsid w:val="00914645"/>
    <w:rsid w:val="00914844"/>
    <w:rsid w:val="0091495B"/>
    <w:rsid w:val="00914A78"/>
    <w:rsid w:val="00914CD1"/>
    <w:rsid w:val="00914EDC"/>
    <w:rsid w:val="00914F14"/>
    <w:rsid w:val="00915358"/>
    <w:rsid w:val="0091535E"/>
    <w:rsid w:val="009157A6"/>
    <w:rsid w:val="00915AAD"/>
    <w:rsid w:val="00915B19"/>
    <w:rsid w:val="00915E8C"/>
    <w:rsid w:val="0091615A"/>
    <w:rsid w:val="00916222"/>
    <w:rsid w:val="00916304"/>
    <w:rsid w:val="009163E4"/>
    <w:rsid w:val="0091651A"/>
    <w:rsid w:val="009165F9"/>
    <w:rsid w:val="0091687C"/>
    <w:rsid w:val="009168F3"/>
    <w:rsid w:val="009169C4"/>
    <w:rsid w:val="00916A5D"/>
    <w:rsid w:val="00916B24"/>
    <w:rsid w:val="00916C2D"/>
    <w:rsid w:val="00916FA6"/>
    <w:rsid w:val="00917623"/>
    <w:rsid w:val="00917751"/>
    <w:rsid w:val="00917974"/>
    <w:rsid w:val="00917CBD"/>
    <w:rsid w:val="00917F7D"/>
    <w:rsid w:val="00920008"/>
    <w:rsid w:val="0092013B"/>
    <w:rsid w:val="009204D7"/>
    <w:rsid w:val="009205EF"/>
    <w:rsid w:val="00920610"/>
    <w:rsid w:val="009206FF"/>
    <w:rsid w:val="0092095D"/>
    <w:rsid w:val="009209C3"/>
    <w:rsid w:val="00920C95"/>
    <w:rsid w:val="00920FA8"/>
    <w:rsid w:val="00921207"/>
    <w:rsid w:val="00921282"/>
    <w:rsid w:val="009212D3"/>
    <w:rsid w:val="0092136E"/>
    <w:rsid w:val="00921736"/>
    <w:rsid w:val="00921A03"/>
    <w:rsid w:val="00921F5E"/>
    <w:rsid w:val="00922984"/>
    <w:rsid w:val="00922A20"/>
    <w:rsid w:val="00922AA5"/>
    <w:rsid w:val="00922D6A"/>
    <w:rsid w:val="00922F4A"/>
    <w:rsid w:val="00922F61"/>
    <w:rsid w:val="00922FA2"/>
    <w:rsid w:val="009234BE"/>
    <w:rsid w:val="00923575"/>
    <w:rsid w:val="009238F4"/>
    <w:rsid w:val="00923A8B"/>
    <w:rsid w:val="00923B39"/>
    <w:rsid w:val="00923B5A"/>
    <w:rsid w:val="00923C56"/>
    <w:rsid w:val="00923CB0"/>
    <w:rsid w:val="0092410D"/>
    <w:rsid w:val="009242D9"/>
    <w:rsid w:val="00924312"/>
    <w:rsid w:val="00924421"/>
    <w:rsid w:val="00924429"/>
    <w:rsid w:val="00924475"/>
    <w:rsid w:val="009246EC"/>
    <w:rsid w:val="00924755"/>
    <w:rsid w:val="00924792"/>
    <w:rsid w:val="00924801"/>
    <w:rsid w:val="00924829"/>
    <w:rsid w:val="009248A7"/>
    <w:rsid w:val="009248FC"/>
    <w:rsid w:val="00924916"/>
    <w:rsid w:val="0092499E"/>
    <w:rsid w:val="009249D2"/>
    <w:rsid w:val="00924C63"/>
    <w:rsid w:val="00924F85"/>
    <w:rsid w:val="009252E4"/>
    <w:rsid w:val="00925330"/>
    <w:rsid w:val="00925498"/>
    <w:rsid w:val="009254BD"/>
    <w:rsid w:val="009256C2"/>
    <w:rsid w:val="00925804"/>
    <w:rsid w:val="00925B06"/>
    <w:rsid w:val="00925DC7"/>
    <w:rsid w:val="00925DD2"/>
    <w:rsid w:val="00925EF4"/>
    <w:rsid w:val="00925F1B"/>
    <w:rsid w:val="009263F1"/>
    <w:rsid w:val="00926A0E"/>
    <w:rsid w:val="00926AA2"/>
    <w:rsid w:val="00926BC1"/>
    <w:rsid w:val="00926C7B"/>
    <w:rsid w:val="009270A0"/>
    <w:rsid w:val="00927161"/>
    <w:rsid w:val="00927236"/>
    <w:rsid w:val="00927795"/>
    <w:rsid w:val="009278CD"/>
    <w:rsid w:val="0092790B"/>
    <w:rsid w:val="009279FE"/>
    <w:rsid w:val="00927AC7"/>
    <w:rsid w:val="00927B3A"/>
    <w:rsid w:val="00930170"/>
    <w:rsid w:val="00930359"/>
    <w:rsid w:val="009303BC"/>
    <w:rsid w:val="009305B5"/>
    <w:rsid w:val="00930676"/>
    <w:rsid w:val="009306E5"/>
    <w:rsid w:val="0093072A"/>
    <w:rsid w:val="00930AA2"/>
    <w:rsid w:val="00930AE4"/>
    <w:rsid w:val="00930DE6"/>
    <w:rsid w:val="00930F7C"/>
    <w:rsid w:val="00931036"/>
    <w:rsid w:val="0093122A"/>
    <w:rsid w:val="009313B3"/>
    <w:rsid w:val="00931747"/>
    <w:rsid w:val="00931832"/>
    <w:rsid w:val="0093196C"/>
    <w:rsid w:val="00931EE0"/>
    <w:rsid w:val="009320E6"/>
    <w:rsid w:val="0093214F"/>
    <w:rsid w:val="00932175"/>
    <w:rsid w:val="00932A33"/>
    <w:rsid w:val="00932AFF"/>
    <w:rsid w:val="009330DD"/>
    <w:rsid w:val="009331B4"/>
    <w:rsid w:val="0093339B"/>
    <w:rsid w:val="009333DC"/>
    <w:rsid w:val="009336D0"/>
    <w:rsid w:val="00933762"/>
    <w:rsid w:val="00933821"/>
    <w:rsid w:val="009339AA"/>
    <w:rsid w:val="00933D68"/>
    <w:rsid w:val="00933E7C"/>
    <w:rsid w:val="00933F90"/>
    <w:rsid w:val="00933FE2"/>
    <w:rsid w:val="00933FE9"/>
    <w:rsid w:val="00934123"/>
    <w:rsid w:val="0093430F"/>
    <w:rsid w:val="0093446F"/>
    <w:rsid w:val="0093458D"/>
    <w:rsid w:val="00934745"/>
    <w:rsid w:val="00934856"/>
    <w:rsid w:val="00934875"/>
    <w:rsid w:val="009349A5"/>
    <w:rsid w:val="00934B0B"/>
    <w:rsid w:val="00934D51"/>
    <w:rsid w:val="00934D6F"/>
    <w:rsid w:val="00934DBA"/>
    <w:rsid w:val="00934E71"/>
    <w:rsid w:val="00934ECC"/>
    <w:rsid w:val="00935170"/>
    <w:rsid w:val="00935271"/>
    <w:rsid w:val="00935358"/>
    <w:rsid w:val="0093539D"/>
    <w:rsid w:val="00935535"/>
    <w:rsid w:val="00935611"/>
    <w:rsid w:val="00935FD9"/>
    <w:rsid w:val="00936211"/>
    <w:rsid w:val="009367A6"/>
    <w:rsid w:val="00936843"/>
    <w:rsid w:val="00936862"/>
    <w:rsid w:val="00936AC5"/>
    <w:rsid w:val="00936D3B"/>
    <w:rsid w:val="00936DB2"/>
    <w:rsid w:val="009373AE"/>
    <w:rsid w:val="009373D5"/>
    <w:rsid w:val="00937522"/>
    <w:rsid w:val="00937542"/>
    <w:rsid w:val="00937552"/>
    <w:rsid w:val="009379EC"/>
    <w:rsid w:val="00937A2A"/>
    <w:rsid w:val="00937A99"/>
    <w:rsid w:val="00937B9F"/>
    <w:rsid w:val="00937E63"/>
    <w:rsid w:val="009400CE"/>
    <w:rsid w:val="00940179"/>
    <w:rsid w:val="0094030A"/>
    <w:rsid w:val="00940396"/>
    <w:rsid w:val="0094048F"/>
    <w:rsid w:val="009404D4"/>
    <w:rsid w:val="00940516"/>
    <w:rsid w:val="00940550"/>
    <w:rsid w:val="0094075A"/>
    <w:rsid w:val="0094080E"/>
    <w:rsid w:val="00940B21"/>
    <w:rsid w:val="00940CE1"/>
    <w:rsid w:val="00940D49"/>
    <w:rsid w:val="00941087"/>
    <w:rsid w:val="009410DB"/>
    <w:rsid w:val="00941116"/>
    <w:rsid w:val="00941136"/>
    <w:rsid w:val="0094119F"/>
    <w:rsid w:val="00941224"/>
    <w:rsid w:val="0094146A"/>
    <w:rsid w:val="009415B6"/>
    <w:rsid w:val="009415F1"/>
    <w:rsid w:val="009416C0"/>
    <w:rsid w:val="00941C5C"/>
    <w:rsid w:val="00941FAD"/>
    <w:rsid w:val="009421DC"/>
    <w:rsid w:val="0094222C"/>
    <w:rsid w:val="00942241"/>
    <w:rsid w:val="0094224E"/>
    <w:rsid w:val="009423AD"/>
    <w:rsid w:val="00942509"/>
    <w:rsid w:val="00942539"/>
    <w:rsid w:val="00942579"/>
    <w:rsid w:val="009425EA"/>
    <w:rsid w:val="009426E2"/>
    <w:rsid w:val="00942AD2"/>
    <w:rsid w:val="00942C9C"/>
    <w:rsid w:val="00942CBC"/>
    <w:rsid w:val="00942E91"/>
    <w:rsid w:val="00942FC9"/>
    <w:rsid w:val="0094312A"/>
    <w:rsid w:val="00943532"/>
    <w:rsid w:val="00943591"/>
    <w:rsid w:val="00943702"/>
    <w:rsid w:val="00943761"/>
    <w:rsid w:val="0094390C"/>
    <w:rsid w:val="00943924"/>
    <w:rsid w:val="00943C49"/>
    <w:rsid w:val="00943DE8"/>
    <w:rsid w:val="00943E7F"/>
    <w:rsid w:val="00943EC8"/>
    <w:rsid w:val="00943EFA"/>
    <w:rsid w:val="00944009"/>
    <w:rsid w:val="0094409D"/>
    <w:rsid w:val="0094418B"/>
    <w:rsid w:val="00944279"/>
    <w:rsid w:val="0094441C"/>
    <w:rsid w:val="00944456"/>
    <w:rsid w:val="0094471B"/>
    <w:rsid w:val="0094487B"/>
    <w:rsid w:val="0094489F"/>
    <w:rsid w:val="00944D34"/>
    <w:rsid w:val="00944E10"/>
    <w:rsid w:val="00944F28"/>
    <w:rsid w:val="00944FB0"/>
    <w:rsid w:val="009453FF"/>
    <w:rsid w:val="00945401"/>
    <w:rsid w:val="00945433"/>
    <w:rsid w:val="00945834"/>
    <w:rsid w:val="009459B5"/>
    <w:rsid w:val="00945ADB"/>
    <w:rsid w:val="00945CD1"/>
    <w:rsid w:val="00945CF2"/>
    <w:rsid w:val="009462D4"/>
    <w:rsid w:val="009462F4"/>
    <w:rsid w:val="00946598"/>
    <w:rsid w:val="0094662A"/>
    <w:rsid w:val="0094675F"/>
    <w:rsid w:val="0094681B"/>
    <w:rsid w:val="00946822"/>
    <w:rsid w:val="00946B22"/>
    <w:rsid w:val="00946D17"/>
    <w:rsid w:val="00946D6A"/>
    <w:rsid w:val="00946E57"/>
    <w:rsid w:val="00947114"/>
    <w:rsid w:val="0094715C"/>
    <w:rsid w:val="009473CE"/>
    <w:rsid w:val="00947585"/>
    <w:rsid w:val="009475E8"/>
    <w:rsid w:val="009476DB"/>
    <w:rsid w:val="00947805"/>
    <w:rsid w:val="009479C1"/>
    <w:rsid w:val="009479CC"/>
    <w:rsid w:val="00947A44"/>
    <w:rsid w:val="00947B97"/>
    <w:rsid w:val="00947D83"/>
    <w:rsid w:val="00947DE1"/>
    <w:rsid w:val="00947F55"/>
    <w:rsid w:val="0095012F"/>
    <w:rsid w:val="009502F5"/>
    <w:rsid w:val="009503F2"/>
    <w:rsid w:val="00950449"/>
    <w:rsid w:val="009504E7"/>
    <w:rsid w:val="009505A3"/>
    <w:rsid w:val="00950D9A"/>
    <w:rsid w:val="00950EE1"/>
    <w:rsid w:val="00951070"/>
    <w:rsid w:val="009511F4"/>
    <w:rsid w:val="0095148F"/>
    <w:rsid w:val="009516F1"/>
    <w:rsid w:val="0095170A"/>
    <w:rsid w:val="00951777"/>
    <w:rsid w:val="0095184E"/>
    <w:rsid w:val="0095194A"/>
    <w:rsid w:val="00951A6C"/>
    <w:rsid w:val="00951C83"/>
    <w:rsid w:val="00951F22"/>
    <w:rsid w:val="009523E9"/>
    <w:rsid w:val="00952440"/>
    <w:rsid w:val="009524E5"/>
    <w:rsid w:val="009526C9"/>
    <w:rsid w:val="00952941"/>
    <w:rsid w:val="0095294E"/>
    <w:rsid w:val="0095299D"/>
    <w:rsid w:val="00952C57"/>
    <w:rsid w:val="00952CFE"/>
    <w:rsid w:val="00952E30"/>
    <w:rsid w:val="00952FDD"/>
    <w:rsid w:val="0095309F"/>
    <w:rsid w:val="00953B26"/>
    <w:rsid w:val="00953FC8"/>
    <w:rsid w:val="009540D1"/>
    <w:rsid w:val="009541E0"/>
    <w:rsid w:val="00954373"/>
    <w:rsid w:val="009544F5"/>
    <w:rsid w:val="00954537"/>
    <w:rsid w:val="00954783"/>
    <w:rsid w:val="009548A2"/>
    <w:rsid w:val="009549E3"/>
    <w:rsid w:val="0095515C"/>
    <w:rsid w:val="00955588"/>
    <w:rsid w:val="00955768"/>
    <w:rsid w:val="00955B06"/>
    <w:rsid w:val="00955DA0"/>
    <w:rsid w:val="00955E3F"/>
    <w:rsid w:val="00955E7D"/>
    <w:rsid w:val="00956179"/>
    <w:rsid w:val="009561A2"/>
    <w:rsid w:val="009561A5"/>
    <w:rsid w:val="009562D7"/>
    <w:rsid w:val="00956369"/>
    <w:rsid w:val="00956560"/>
    <w:rsid w:val="009565CE"/>
    <w:rsid w:val="00956702"/>
    <w:rsid w:val="00956929"/>
    <w:rsid w:val="009569E4"/>
    <w:rsid w:val="00956CD7"/>
    <w:rsid w:val="00956D7A"/>
    <w:rsid w:val="00956FEC"/>
    <w:rsid w:val="00957263"/>
    <w:rsid w:val="0095748E"/>
    <w:rsid w:val="0095749D"/>
    <w:rsid w:val="009574D1"/>
    <w:rsid w:val="00957B67"/>
    <w:rsid w:val="00957BA5"/>
    <w:rsid w:val="00957C8D"/>
    <w:rsid w:val="00957D68"/>
    <w:rsid w:val="00957DE1"/>
    <w:rsid w:val="00957F5B"/>
    <w:rsid w:val="00957FE5"/>
    <w:rsid w:val="00960069"/>
    <w:rsid w:val="009601E7"/>
    <w:rsid w:val="0096027F"/>
    <w:rsid w:val="009602D8"/>
    <w:rsid w:val="0096073E"/>
    <w:rsid w:val="00960975"/>
    <w:rsid w:val="00960ABE"/>
    <w:rsid w:val="00960C90"/>
    <w:rsid w:val="0096102D"/>
    <w:rsid w:val="00961298"/>
    <w:rsid w:val="009612B7"/>
    <w:rsid w:val="00961371"/>
    <w:rsid w:val="0096143D"/>
    <w:rsid w:val="0096169E"/>
    <w:rsid w:val="009619F0"/>
    <w:rsid w:val="00961B4B"/>
    <w:rsid w:val="00961CBE"/>
    <w:rsid w:val="00961D61"/>
    <w:rsid w:val="00961DDD"/>
    <w:rsid w:val="00961ED7"/>
    <w:rsid w:val="00961F22"/>
    <w:rsid w:val="00961F85"/>
    <w:rsid w:val="00962006"/>
    <w:rsid w:val="009620EC"/>
    <w:rsid w:val="00962283"/>
    <w:rsid w:val="009622DA"/>
    <w:rsid w:val="009623BD"/>
    <w:rsid w:val="00962423"/>
    <w:rsid w:val="00962531"/>
    <w:rsid w:val="009626CA"/>
    <w:rsid w:val="00962790"/>
    <w:rsid w:val="00962A32"/>
    <w:rsid w:val="00962B6A"/>
    <w:rsid w:val="00962C06"/>
    <w:rsid w:val="00962C4A"/>
    <w:rsid w:val="00962C61"/>
    <w:rsid w:val="00962D81"/>
    <w:rsid w:val="009630D2"/>
    <w:rsid w:val="0096323D"/>
    <w:rsid w:val="00963435"/>
    <w:rsid w:val="0096358B"/>
    <w:rsid w:val="00963809"/>
    <w:rsid w:val="00963946"/>
    <w:rsid w:val="00963B6A"/>
    <w:rsid w:val="00963D45"/>
    <w:rsid w:val="00963FAF"/>
    <w:rsid w:val="009643A9"/>
    <w:rsid w:val="00964440"/>
    <w:rsid w:val="00964466"/>
    <w:rsid w:val="00964A90"/>
    <w:rsid w:val="00964BB2"/>
    <w:rsid w:val="00964F49"/>
    <w:rsid w:val="009650A5"/>
    <w:rsid w:val="009650E7"/>
    <w:rsid w:val="0096549F"/>
    <w:rsid w:val="009655EF"/>
    <w:rsid w:val="009657DE"/>
    <w:rsid w:val="009657DF"/>
    <w:rsid w:val="0096588B"/>
    <w:rsid w:val="00965AC1"/>
    <w:rsid w:val="00965AF9"/>
    <w:rsid w:val="00965C37"/>
    <w:rsid w:val="00965C58"/>
    <w:rsid w:val="00965CD5"/>
    <w:rsid w:val="00965CE0"/>
    <w:rsid w:val="00965CFC"/>
    <w:rsid w:val="00966132"/>
    <w:rsid w:val="009664BC"/>
    <w:rsid w:val="0096663B"/>
    <w:rsid w:val="009667B7"/>
    <w:rsid w:val="0096690B"/>
    <w:rsid w:val="0096694E"/>
    <w:rsid w:val="00966956"/>
    <w:rsid w:val="00966969"/>
    <w:rsid w:val="00966A1F"/>
    <w:rsid w:val="00966ACA"/>
    <w:rsid w:val="00966D76"/>
    <w:rsid w:val="00966F11"/>
    <w:rsid w:val="0096721B"/>
    <w:rsid w:val="00967310"/>
    <w:rsid w:val="00967349"/>
    <w:rsid w:val="00967597"/>
    <w:rsid w:val="009675B3"/>
    <w:rsid w:val="00967783"/>
    <w:rsid w:val="00967D82"/>
    <w:rsid w:val="00967ECD"/>
    <w:rsid w:val="009700AD"/>
    <w:rsid w:val="009701B0"/>
    <w:rsid w:val="009704F6"/>
    <w:rsid w:val="00970684"/>
    <w:rsid w:val="00970767"/>
    <w:rsid w:val="009707F4"/>
    <w:rsid w:val="00970927"/>
    <w:rsid w:val="00970C0E"/>
    <w:rsid w:val="00970C8A"/>
    <w:rsid w:val="00970F3A"/>
    <w:rsid w:val="00970F6E"/>
    <w:rsid w:val="0097123B"/>
    <w:rsid w:val="009712C0"/>
    <w:rsid w:val="0097173A"/>
    <w:rsid w:val="00971851"/>
    <w:rsid w:val="009718D3"/>
    <w:rsid w:val="009719D3"/>
    <w:rsid w:val="009719D6"/>
    <w:rsid w:val="00971D62"/>
    <w:rsid w:val="00971D9C"/>
    <w:rsid w:val="00971EBA"/>
    <w:rsid w:val="0097223D"/>
    <w:rsid w:val="00972281"/>
    <w:rsid w:val="009726C4"/>
    <w:rsid w:val="00972743"/>
    <w:rsid w:val="00972786"/>
    <w:rsid w:val="00972867"/>
    <w:rsid w:val="00972A39"/>
    <w:rsid w:val="00972AFF"/>
    <w:rsid w:val="00972D38"/>
    <w:rsid w:val="00972E11"/>
    <w:rsid w:val="00972F15"/>
    <w:rsid w:val="00973037"/>
    <w:rsid w:val="00973203"/>
    <w:rsid w:val="00973344"/>
    <w:rsid w:val="00973692"/>
    <w:rsid w:val="009736F5"/>
    <w:rsid w:val="009737E3"/>
    <w:rsid w:val="00973C70"/>
    <w:rsid w:val="00973EB6"/>
    <w:rsid w:val="009741A6"/>
    <w:rsid w:val="00974292"/>
    <w:rsid w:val="009742C9"/>
    <w:rsid w:val="00974388"/>
    <w:rsid w:val="00974573"/>
    <w:rsid w:val="009745F8"/>
    <w:rsid w:val="00974688"/>
    <w:rsid w:val="009749B2"/>
    <w:rsid w:val="00974A08"/>
    <w:rsid w:val="00974A78"/>
    <w:rsid w:val="00974D38"/>
    <w:rsid w:val="0097502B"/>
    <w:rsid w:val="0097516D"/>
    <w:rsid w:val="009754FE"/>
    <w:rsid w:val="00975A11"/>
    <w:rsid w:val="00975A39"/>
    <w:rsid w:val="00975AE7"/>
    <w:rsid w:val="00975B28"/>
    <w:rsid w:val="00975D38"/>
    <w:rsid w:val="00975D40"/>
    <w:rsid w:val="00975E1D"/>
    <w:rsid w:val="00975E1F"/>
    <w:rsid w:val="00975E50"/>
    <w:rsid w:val="00975ED5"/>
    <w:rsid w:val="0097691B"/>
    <w:rsid w:val="00976980"/>
    <w:rsid w:val="00976E33"/>
    <w:rsid w:val="00976FFE"/>
    <w:rsid w:val="0097707F"/>
    <w:rsid w:val="009771B5"/>
    <w:rsid w:val="00977325"/>
    <w:rsid w:val="00977373"/>
    <w:rsid w:val="00977431"/>
    <w:rsid w:val="00977463"/>
    <w:rsid w:val="009777F8"/>
    <w:rsid w:val="00977F8E"/>
    <w:rsid w:val="00977FB2"/>
    <w:rsid w:val="00980217"/>
    <w:rsid w:val="00980329"/>
    <w:rsid w:val="0098040D"/>
    <w:rsid w:val="009804BD"/>
    <w:rsid w:val="0098077A"/>
    <w:rsid w:val="0098099E"/>
    <w:rsid w:val="00980BBD"/>
    <w:rsid w:val="00980C12"/>
    <w:rsid w:val="00980CA3"/>
    <w:rsid w:val="00980CB9"/>
    <w:rsid w:val="00980DA5"/>
    <w:rsid w:val="00980DC2"/>
    <w:rsid w:val="009810C9"/>
    <w:rsid w:val="0098124C"/>
    <w:rsid w:val="009814E4"/>
    <w:rsid w:val="00981CB2"/>
    <w:rsid w:val="00981E64"/>
    <w:rsid w:val="00981FF6"/>
    <w:rsid w:val="0098205B"/>
    <w:rsid w:val="0098205E"/>
    <w:rsid w:val="00982099"/>
    <w:rsid w:val="009821DC"/>
    <w:rsid w:val="009821F5"/>
    <w:rsid w:val="009823F6"/>
    <w:rsid w:val="00982531"/>
    <w:rsid w:val="0098273F"/>
    <w:rsid w:val="009829E8"/>
    <w:rsid w:val="00982A61"/>
    <w:rsid w:val="00982B98"/>
    <w:rsid w:val="00982C6C"/>
    <w:rsid w:val="00982C99"/>
    <w:rsid w:val="00982CFA"/>
    <w:rsid w:val="00982EB5"/>
    <w:rsid w:val="00983136"/>
    <w:rsid w:val="00983260"/>
    <w:rsid w:val="00983302"/>
    <w:rsid w:val="0098356C"/>
    <w:rsid w:val="00983869"/>
    <w:rsid w:val="009838FA"/>
    <w:rsid w:val="00983C65"/>
    <w:rsid w:val="00983D17"/>
    <w:rsid w:val="00983DDA"/>
    <w:rsid w:val="009840F9"/>
    <w:rsid w:val="009840FA"/>
    <w:rsid w:val="00984104"/>
    <w:rsid w:val="009843F5"/>
    <w:rsid w:val="009844E2"/>
    <w:rsid w:val="00984712"/>
    <w:rsid w:val="0098472C"/>
    <w:rsid w:val="00984973"/>
    <w:rsid w:val="00984983"/>
    <w:rsid w:val="00984CE3"/>
    <w:rsid w:val="00984D0D"/>
    <w:rsid w:val="00984FCC"/>
    <w:rsid w:val="0098505B"/>
    <w:rsid w:val="009850C1"/>
    <w:rsid w:val="0098511F"/>
    <w:rsid w:val="00985442"/>
    <w:rsid w:val="00985492"/>
    <w:rsid w:val="00985499"/>
    <w:rsid w:val="00985587"/>
    <w:rsid w:val="00985655"/>
    <w:rsid w:val="00985682"/>
    <w:rsid w:val="009858D9"/>
    <w:rsid w:val="00985AA4"/>
    <w:rsid w:val="00985B43"/>
    <w:rsid w:val="00985C97"/>
    <w:rsid w:val="00985D2D"/>
    <w:rsid w:val="00986049"/>
    <w:rsid w:val="009860A9"/>
    <w:rsid w:val="009861B1"/>
    <w:rsid w:val="00986805"/>
    <w:rsid w:val="00986954"/>
    <w:rsid w:val="00986A91"/>
    <w:rsid w:val="00986B48"/>
    <w:rsid w:val="00986B74"/>
    <w:rsid w:val="00986C2E"/>
    <w:rsid w:val="00986F1B"/>
    <w:rsid w:val="00987278"/>
    <w:rsid w:val="009876DF"/>
    <w:rsid w:val="0098785F"/>
    <w:rsid w:val="00987A6B"/>
    <w:rsid w:val="00987AA5"/>
    <w:rsid w:val="00987B60"/>
    <w:rsid w:val="00987D34"/>
    <w:rsid w:val="00987DEF"/>
    <w:rsid w:val="009900F2"/>
    <w:rsid w:val="009902AB"/>
    <w:rsid w:val="009904AE"/>
    <w:rsid w:val="00990686"/>
    <w:rsid w:val="0099083D"/>
    <w:rsid w:val="00990BA7"/>
    <w:rsid w:val="00990C1E"/>
    <w:rsid w:val="00990D34"/>
    <w:rsid w:val="00990DB5"/>
    <w:rsid w:val="00990EB5"/>
    <w:rsid w:val="00990EF8"/>
    <w:rsid w:val="00990EFB"/>
    <w:rsid w:val="009911BB"/>
    <w:rsid w:val="00991432"/>
    <w:rsid w:val="009914A1"/>
    <w:rsid w:val="00991539"/>
    <w:rsid w:val="009916A1"/>
    <w:rsid w:val="0099189E"/>
    <w:rsid w:val="00991981"/>
    <w:rsid w:val="00991BD6"/>
    <w:rsid w:val="00991DBC"/>
    <w:rsid w:val="00991EC5"/>
    <w:rsid w:val="00991EEE"/>
    <w:rsid w:val="0099260C"/>
    <w:rsid w:val="0099288C"/>
    <w:rsid w:val="00992989"/>
    <w:rsid w:val="009929F4"/>
    <w:rsid w:val="00992A34"/>
    <w:rsid w:val="00992AEE"/>
    <w:rsid w:val="00992F56"/>
    <w:rsid w:val="009930D4"/>
    <w:rsid w:val="0099335A"/>
    <w:rsid w:val="00993393"/>
    <w:rsid w:val="00993947"/>
    <w:rsid w:val="00993A10"/>
    <w:rsid w:val="00993CC1"/>
    <w:rsid w:val="00993F6D"/>
    <w:rsid w:val="00994000"/>
    <w:rsid w:val="0099419C"/>
    <w:rsid w:val="00994243"/>
    <w:rsid w:val="0099427B"/>
    <w:rsid w:val="009946B5"/>
    <w:rsid w:val="009946E7"/>
    <w:rsid w:val="009948D7"/>
    <w:rsid w:val="00994CF2"/>
    <w:rsid w:val="00994D57"/>
    <w:rsid w:val="00994D97"/>
    <w:rsid w:val="00994E68"/>
    <w:rsid w:val="00994E90"/>
    <w:rsid w:val="00995125"/>
    <w:rsid w:val="0099542B"/>
    <w:rsid w:val="0099548B"/>
    <w:rsid w:val="009955E8"/>
    <w:rsid w:val="00995B60"/>
    <w:rsid w:val="00995C47"/>
    <w:rsid w:val="00995CEF"/>
    <w:rsid w:val="00995E91"/>
    <w:rsid w:val="00995F1D"/>
    <w:rsid w:val="00995F33"/>
    <w:rsid w:val="00995FA8"/>
    <w:rsid w:val="00996392"/>
    <w:rsid w:val="009966EB"/>
    <w:rsid w:val="00996728"/>
    <w:rsid w:val="009967B0"/>
    <w:rsid w:val="00996999"/>
    <w:rsid w:val="00996B4A"/>
    <w:rsid w:val="00996BB6"/>
    <w:rsid w:val="00996CEB"/>
    <w:rsid w:val="00996DAA"/>
    <w:rsid w:val="00996E61"/>
    <w:rsid w:val="00996FF4"/>
    <w:rsid w:val="009970C7"/>
    <w:rsid w:val="00997289"/>
    <w:rsid w:val="0099761A"/>
    <w:rsid w:val="009977EB"/>
    <w:rsid w:val="00997848"/>
    <w:rsid w:val="00997909"/>
    <w:rsid w:val="009979CD"/>
    <w:rsid w:val="009979DE"/>
    <w:rsid w:val="00997A58"/>
    <w:rsid w:val="00997B16"/>
    <w:rsid w:val="00997B43"/>
    <w:rsid w:val="00997B6D"/>
    <w:rsid w:val="00997E2C"/>
    <w:rsid w:val="00997EDC"/>
    <w:rsid w:val="00997FF6"/>
    <w:rsid w:val="009A01AE"/>
    <w:rsid w:val="009A01B3"/>
    <w:rsid w:val="009A02E6"/>
    <w:rsid w:val="009A05F8"/>
    <w:rsid w:val="009A0977"/>
    <w:rsid w:val="009A09E7"/>
    <w:rsid w:val="009A0B66"/>
    <w:rsid w:val="009A0B91"/>
    <w:rsid w:val="009A0BCC"/>
    <w:rsid w:val="009A0CCB"/>
    <w:rsid w:val="009A0CD8"/>
    <w:rsid w:val="009A0E17"/>
    <w:rsid w:val="009A1154"/>
    <w:rsid w:val="009A116A"/>
    <w:rsid w:val="009A11B4"/>
    <w:rsid w:val="009A12E5"/>
    <w:rsid w:val="009A1386"/>
    <w:rsid w:val="009A1732"/>
    <w:rsid w:val="009A1B10"/>
    <w:rsid w:val="009A1B2D"/>
    <w:rsid w:val="009A1C6F"/>
    <w:rsid w:val="009A1DB4"/>
    <w:rsid w:val="009A1E78"/>
    <w:rsid w:val="009A1EA4"/>
    <w:rsid w:val="009A1F92"/>
    <w:rsid w:val="009A201A"/>
    <w:rsid w:val="009A20CE"/>
    <w:rsid w:val="009A2392"/>
    <w:rsid w:val="009A24A8"/>
    <w:rsid w:val="009A25B4"/>
    <w:rsid w:val="009A2604"/>
    <w:rsid w:val="009A27DE"/>
    <w:rsid w:val="009A27E8"/>
    <w:rsid w:val="009A2838"/>
    <w:rsid w:val="009A28EA"/>
    <w:rsid w:val="009A2A26"/>
    <w:rsid w:val="009A2A33"/>
    <w:rsid w:val="009A2AC4"/>
    <w:rsid w:val="009A2B41"/>
    <w:rsid w:val="009A2BEC"/>
    <w:rsid w:val="009A2C04"/>
    <w:rsid w:val="009A2D19"/>
    <w:rsid w:val="009A2D38"/>
    <w:rsid w:val="009A2DE2"/>
    <w:rsid w:val="009A2E0C"/>
    <w:rsid w:val="009A2F76"/>
    <w:rsid w:val="009A3288"/>
    <w:rsid w:val="009A32BA"/>
    <w:rsid w:val="009A3308"/>
    <w:rsid w:val="009A34FB"/>
    <w:rsid w:val="009A35D5"/>
    <w:rsid w:val="009A3884"/>
    <w:rsid w:val="009A3963"/>
    <w:rsid w:val="009A3A9A"/>
    <w:rsid w:val="009A3AFB"/>
    <w:rsid w:val="009A3C97"/>
    <w:rsid w:val="009A3D2F"/>
    <w:rsid w:val="009A3DB2"/>
    <w:rsid w:val="009A3E51"/>
    <w:rsid w:val="009A3EF5"/>
    <w:rsid w:val="009A3F93"/>
    <w:rsid w:val="009A40E3"/>
    <w:rsid w:val="009A4192"/>
    <w:rsid w:val="009A45E3"/>
    <w:rsid w:val="009A4765"/>
    <w:rsid w:val="009A47D8"/>
    <w:rsid w:val="009A4881"/>
    <w:rsid w:val="009A4ADE"/>
    <w:rsid w:val="009A52F1"/>
    <w:rsid w:val="009A540C"/>
    <w:rsid w:val="009A5611"/>
    <w:rsid w:val="009A5685"/>
    <w:rsid w:val="009A56AD"/>
    <w:rsid w:val="009A576D"/>
    <w:rsid w:val="009A576E"/>
    <w:rsid w:val="009A58EA"/>
    <w:rsid w:val="009A5901"/>
    <w:rsid w:val="009A595D"/>
    <w:rsid w:val="009A5A0A"/>
    <w:rsid w:val="009A5A93"/>
    <w:rsid w:val="009A5A9A"/>
    <w:rsid w:val="009A5BFF"/>
    <w:rsid w:val="009A5D8B"/>
    <w:rsid w:val="009A6023"/>
    <w:rsid w:val="009A618D"/>
    <w:rsid w:val="009A62F0"/>
    <w:rsid w:val="009A64EA"/>
    <w:rsid w:val="009A65AA"/>
    <w:rsid w:val="009A65B1"/>
    <w:rsid w:val="009A66F2"/>
    <w:rsid w:val="009A684A"/>
    <w:rsid w:val="009A6852"/>
    <w:rsid w:val="009A695A"/>
    <w:rsid w:val="009A6A4B"/>
    <w:rsid w:val="009A6A7B"/>
    <w:rsid w:val="009A6C76"/>
    <w:rsid w:val="009A6CD5"/>
    <w:rsid w:val="009A6E04"/>
    <w:rsid w:val="009A7170"/>
    <w:rsid w:val="009A71D4"/>
    <w:rsid w:val="009A7522"/>
    <w:rsid w:val="009A7628"/>
    <w:rsid w:val="009A780B"/>
    <w:rsid w:val="009A781E"/>
    <w:rsid w:val="009A785E"/>
    <w:rsid w:val="009A7DD1"/>
    <w:rsid w:val="009A7E10"/>
    <w:rsid w:val="009A7F08"/>
    <w:rsid w:val="009B00AB"/>
    <w:rsid w:val="009B054C"/>
    <w:rsid w:val="009B055C"/>
    <w:rsid w:val="009B05A8"/>
    <w:rsid w:val="009B09A9"/>
    <w:rsid w:val="009B0AE6"/>
    <w:rsid w:val="009B0D0A"/>
    <w:rsid w:val="009B103C"/>
    <w:rsid w:val="009B128B"/>
    <w:rsid w:val="009B13C3"/>
    <w:rsid w:val="009B13C8"/>
    <w:rsid w:val="009B1776"/>
    <w:rsid w:val="009B1851"/>
    <w:rsid w:val="009B19D5"/>
    <w:rsid w:val="009B1C2E"/>
    <w:rsid w:val="009B1E8E"/>
    <w:rsid w:val="009B1F7D"/>
    <w:rsid w:val="009B1F87"/>
    <w:rsid w:val="009B20F2"/>
    <w:rsid w:val="009B2158"/>
    <w:rsid w:val="009B23F1"/>
    <w:rsid w:val="009B242E"/>
    <w:rsid w:val="009B24A7"/>
    <w:rsid w:val="009B25CE"/>
    <w:rsid w:val="009B2714"/>
    <w:rsid w:val="009B2830"/>
    <w:rsid w:val="009B294B"/>
    <w:rsid w:val="009B29DC"/>
    <w:rsid w:val="009B2A4D"/>
    <w:rsid w:val="009B2AEE"/>
    <w:rsid w:val="009B2B61"/>
    <w:rsid w:val="009B358A"/>
    <w:rsid w:val="009B36BC"/>
    <w:rsid w:val="009B3710"/>
    <w:rsid w:val="009B3738"/>
    <w:rsid w:val="009B3857"/>
    <w:rsid w:val="009B3C27"/>
    <w:rsid w:val="009B3D26"/>
    <w:rsid w:val="009B3D9C"/>
    <w:rsid w:val="009B3F53"/>
    <w:rsid w:val="009B401F"/>
    <w:rsid w:val="009B4077"/>
    <w:rsid w:val="009B4273"/>
    <w:rsid w:val="009B432D"/>
    <w:rsid w:val="009B43AF"/>
    <w:rsid w:val="009B43EE"/>
    <w:rsid w:val="009B445F"/>
    <w:rsid w:val="009B447B"/>
    <w:rsid w:val="009B4488"/>
    <w:rsid w:val="009B4539"/>
    <w:rsid w:val="009B45D8"/>
    <w:rsid w:val="009B469C"/>
    <w:rsid w:val="009B474A"/>
    <w:rsid w:val="009B4881"/>
    <w:rsid w:val="009B48AB"/>
    <w:rsid w:val="009B494E"/>
    <w:rsid w:val="009B499E"/>
    <w:rsid w:val="009B4A51"/>
    <w:rsid w:val="009B4A5A"/>
    <w:rsid w:val="009B4B11"/>
    <w:rsid w:val="009B4C13"/>
    <w:rsid w:val="009B4C71"/>
    <w:rsid w:val="009B4D47"/>
    <w:rsid w:val="009B4E7A"/>
    <w:rsid w:val="009B559B"/>
    <w:rsid w:val="009B5E2F"/>
    <w:rsid w:val="009B5E8A"/>
    <w:rsid w:val="009B6100"/>
    <w:rsid w:val="009B641D"/>
    <w:rsid w:val="009B64B7"/>
    <w:rsid w:val="009B6501"/>
    <w:rsid w:val="009B66D7"/>
    <w:rsid w:val="009B66ED"/>
    <w:rsid w:val="009B6AA2"/>
    <w:rsid w:val="009B6AE3"/>
    <w:rsid w:val="009B6B43"/>
    <w:rsid w:val="009B6BCC"/>
    <w:rsid w:val="009B6C53"/>
    <w:rsid w:val="009B6DBF"/>
    <w:rsid w:val="009B7061"/>
    <w:rsid w:val="009B70DF"/>
    <w:rsid w:val="009B7201"/>
    <w:rsid w:val="009B73B4"/>
    <w:rsid w:val="009B74BE"/>
    <w:rsid w:val="009B7523"/>
    <w:rsid w:val="009B75DB"/>
    <w:rsid w:val="009B7614"/>
    <w:rsid w:val="009B76A8"/>
    <w:rsid w:val="009B76E8"/>
    <w:rsid w:val="009B791E"/>
    <w:rsid w:val="009B7959"/>
    <w:rsid w:val="009B79AD"/>
    <w:rsid w:val="009B7C82"/>
    <w:rsid w:val="009B7CBF"/>
    <w:rsid w:val="009B7F38"/>
    <w:rsid w:val="009C01FA"/>
    <w:rsid w:val="009C0390"/>
    <w:rsid w:val="009C047D"/>
    <w:rsid w:val="009C04E0"/>
    <w:rsid w:val="009C0642"/>
    <w:rsid w:val="009C0850"/>
    <w:rsid w:val="009C0A67"/>
    <w:rsid w:val="009C0D01"/>
    <w:rsid w:val="009C0DEC"/>
    <w:rsid w:val="009C1350"/>
    <w:rsid w:val="009C1B71"/>
    <w:rsid w:val="009C1C04"/>
    <w:rsid w:val="009C1D2B"/>
    <w:rsid w:val="009C1FB9"/>
    <w:rsid w:val="009C2314"/>
    <w:rsid w:val="009C2319"/>
    <w:rsid w:val="009C26F6"/>
    <w:rsid w:val="009C2832"/>
    <w:rsid w:val="009C2A03"/>
    <w:rsid w:val="009C2B49"/>
    <w:rsid w:val="009C2BF1"/>
    <w:rsid w:val="009C2BF3"/>
    <w:rsid w:val="009C2D3D"/>
    <w:rsid w:val="009C3114"/>
    <w:rsid w:val="009C3279"/>
    <w:rsid w:val="009C3341"/>
    <w:rsid w:val="009C33BE"/>
    <w:rsid w:val="009C33DF"/>
    <w:rsid w:val="009C34A2"/>
    <w:rsid w:val="009C3612"/>
    <w:rsid w:val="009C3771"/>
    <w:rsid w:val="009C3A16"/>
    <w:rsid w:val="009C3AC6"/>
    <w:rsid w:val="009C3D1F"/>
    <w:rsid w:val="009C4081"/>
    <w:rsid w:val="009C40B4"/>
    <w:rsid w:val="009C4139"/>
    <w:rsid w:val="009C4156"/>
    <w:rsid w:val="009C47C8"/>
    <w:rsid w:val="009C49A7"/>
    <w:rsid w:val="009C49AD"/>
    <w:rsid w:val="009C4A08"/>
    <w:rsid w:val="009C4A40"/>
    <w:rsid w:val="009C4A4F"/>
    <w:rsid w:val="009C4B3D"/>
    <w:rsid w:val="009C4C8B"/>
    <w:rsid w:val="009C4C98"/>
    <w:rsid w:val="009C4E3F"/>
    <w:rsid w:val="009C4E71"/>
    <w:rsid w:val="009C4ED2"/>
    <w:rsid w:val="009C5227"/>
    <w:rsid w:val="009C56D2"/>
    <w:rsid w:val="009C5753"/>
    <w:rsid w:val="009C578D"/>
    <w:rsid w:val="009C58D8"/>
    <w:rsid w:val="009C5943"/>
    <w:rsid w:val="009C5AB8"/>
    <w:rsid w:val="009C5AC0"/>
    <w:rsid w:val="009C5C09"/>
    <w:rsid w:val="009C5C29"/>
    <w:rsid w:val="009C5FA4"/>
    <w:rsid w:val="009C632D"/>
    <w:rsid w:val="009C6422"/>
    <w:rsid w:val="009C6449"/>
    <w:rsid w:val="009C6997"/>
    <w:rsid w:val="009C6A65"/>
    <w:rsid w:val="009C6F65"/>
    <w:rsid w:val="009C7338"/>
    <w:rsid w:val="009C737B"/>
    <w:rsid w:val="009C741A"/>
    <w:rsid w:val="009C74A2"/>
    <w:rsid w:val="009C761C"/>
    <w:rsid w:val="009C763E"/>
    <w:rsid w:val="009C76A8"/>
    <w:rsid w:val="009C79D2"/>
    <w:rsid w:val="009C7A47"/>
    <w:rsid w:val="009C7AFD"/>
    <w:rsid w:val="009C7B3A"/>
    <w:rsid w:val="009C7BAF"/>
    <w:rsid w:val="009C7C64"/>
    <w:rsid w:val="009C7D49"/>
    <w:rsid w:val="009C7DEA"/>
    <w:rsid w:val="009C7EB9"/>
    <w:rsid w:val="009D0028"/>
    <w:rsid w:val="009D002D"/>
    <w:rsid w:val="009D0158"/>
    <w:rsid w:val="009D01C7"/>
    <w:rsid w:val="009D02D0"/>
    <w:rsid w:val="009D064F"/>
    <w:rsid w:val="009D093E"/>
    <w:rsid w:val="009D0C14"/>
    <w:rsid w:val="009D0E91"/>
    <w:rsid w:val="009D0EC3"/>
    <w:rsid w:val="009D1026"/>
    <w:rsid w:val="009D1033"/>
    <w:rsid w:val="009D1138"/>
    <w:rsid w:val="009D12C1"/>
    <w:rsid w:val="009D14D1"/>
    <w:rsid w:val="009D1596"/>
    <w:rsid w:val="009D1669"/>
    <w:rsid w:val="009D17FF"/>
    <w:rsid w:val="009D18C3"/>
    <w:rsid w:val="009D1989"/>
    <w:rsid w:val="009D1BAE"/>
    <w:rsid w:val="009D1BCA"/>
    <w:rsid w:val="009D20AD"/>
    <w:rsid w:val="009D2227"/>
    <w:rsid w:val="009D23AA"/>
    <w:rsid w:val="009D247B"/>
    <w:rsid w:val="009D2998"/>
    <w:rsid w:val="009D2A83"/>
    <w:rsid w:val="009D2ADA"/>
    <w:rsid w:val="009D2E37"/>
    <w:rsid w:val="009D2F99"/>
    <w:rsid w:val="009D2FDC"/>
    <w:rsid w:val="009D3077"/>
    <w:rsid w:val="009D309D"/>
    <w:rsid w:val="009D319E"/>
    <w:rsid w:val="009D3262"/>
    <w:rsid w:val="009D3509"/>
    <w:rsid w:val="009D3780"/>
    <w:rsid w:val="009D3801"/>
    <w:rsid w:val="009D396A"/>
    <w:rsid w:val="009D3BAA"/>
    <w:rsid w:val="009D3C9A"/>
    <w:rsid w:val="009D3CA7"/>
    <w:rsid w:val="009D3D8C"/>
    <w:rsid w:val="009D3DDD"/>
    <w:rsid w:val="009D3F70"/>
    <w:rsid w:val="009D43D7"/>
    <w:rsid w:val="009D44B7"/>
    <w:rsid w:val="009D46EC"/>
    <w:rsid w:val="009D46EF"/>
    <w:rsid w:val="009D47B3"/>
    <w:rsid w:val="009D47C3"/>
    <w:rsid w:val="009D488D"/>
    <w:rsid w:val="009D48E6"/>
    <w:rsid w:val="009D4B6D"/>
    <w:rsid w:val="009D519A"/>
    <w:rsid w:val="009D53B9"/>
    <w:rsid w:val="009D543D"/>
    <w:rsid w:val="009D54AF"/>
    <w:rsid w:val="009D5799"/>
    <w:rsid w:val="009D57D1"/>
    <w:rsid w:val="009D5975"/>
    <w:rsid w:val="009D59A6"/>
    <w:rsid w:val="009D59DE"/>
    <w:rsid w:val="009D5A42"/>
    <w:rsid w:val="009D5AB0"/>
    <w:rsid w:val="009D5FEA"/>
    <w:rsid w:val="009D60F5"/>
    <w:rsid w:val="009D6145"/>
    <w:rsid w:val="009D6225"/>
    <w:rsid w:val="009D6620"/>
    <w:rsid w:val="009D669D"/>
    <w:rsid w:val="009D673C"/>
    <w:rsid w:val="009D67D0"/>
    <w:rsid w:val="009D6C5A"/>
    <w:rsid w:val="009D6C88"/>
    <w:rsid w:val="009D702A"/>
    <w:rsid w:val="009D7143"/>
    <w:rsid w:val="009D732A"/>
    <w:rsid w:val="009D75C9"/>
    <w:rsid w:val="009D7761"/>
    <w:rsid w:val="009D7936"/>
    <w:rsid w:val="009D7B38"/>
    <w:rsid w:val="009D7BE5"/>
    <w:rsid w:val="009D7D50"/>
    <w:rsid w:val="009E0016"/>
    <w:rsid w:val="009E01B3"/>
    <w:rsid w:val="009E05C6"/>
    <w:rsid w:val="009E0638"/>
    <w:rsid w:val="009E065A"/>
    <w:rsid w:val="009E0662"/>
    <w:rsid w:val="009E093F"/>
    <w:rsid w:val="009E0A12"/>
    <w:rsid w:val="009E1016"/>
    <w:rsid w:val="009E1079"/>
    <w:rsid w:val="009E1365"/>
    <w:rsid w:val="009E13F8"/>
    <w:rsid w:val="009E1420"/>
    <w:rsid w:val="009E1679"/>
    <w:rsid w:val="009E1B03"/>
    <w:rsid w:val="009E1B50"/>
    <w:rsid w:val="009E1B82"/>
    <w:rsid w:val="009E1E6C"/>
    <w:rsid w:val="009E1EAB"/>
    <w:rsid w:val="009E2329"/>
    <w:rsid w:val="009E2397"/>
    <w:rsid w:val="009E2407"/>
    <w:rsid w:val="009E2B85"/>
    <w:rsid w:val="009E321C"/>
    <w:rsid w:val="009E349C"/>
    <w:rsid w:val="009E34A1"/>
    <w:rsid w:val="009E34A7"/>
    <w:rsid w:val="009E35C0"/>
    <w:rsid w:val="009E3793"/>
    <w:rsid w:val="009E3886"/>
    <w:rsid w:val="009E39E7"/>
    <w:rsid w:val="009E3AEA"/>
    <w:rsid w:val="009E3DF8"/>
    <w:rsid w:val="009E3F59"/>
    <w:rsid w:val="009E3F87"/>
    <w:rsid w:val="009E3FEB"/>
    <w:rsid w:val="009E4225"/>
    <w:rsid w:val="009E42E9"/>
    <w:rsid w:val="009E43F0"/>
    <w:rsid w:val="009E49CE"/>
    <w:rsid w:val="009E4CA3"/>
    <w:rsid w:val="009E4DCE"/>
    <w:rsid w:val="009E4EB6"/>
    <w:rsid w:val="009E4EDF"/>
    <w:rsid w:val="009E4FFE"/>
    <w:rsid w:val="009E5049"/>
    <w:rsid w:val="009E51B4"/>
    <w:rsid w:val="009E51BA"/>
    <w:rsid w:val="009E536D"/>
    <w:rsid w:val="009E545C"/>
    <w:rsid w:val="009E54AF"/>
    <w:rsid w:val="009E572E"/>
    <w:rsid w:val="009E58C9"/>
    <w:rsid w:val="009E5915"/>
    <w:rsid w:val="009E5C51"/>
    <w:rsid w:val="009E5DBD"/>
    <w:rsid w:val="009E5EC9"/>
    <w:rsid w:val="009E635B"/>
    <w:rsid w:val="009E63F6"/>
    <w:rsid w:val="009E64B6"/>
    <w:rsid w:val="009E6738"/>
    <w:rsid w:val="009E6833"/>
    <w:rsid w:val="009E6A07"/>
    <w:rsid w:val="009E6A7D"/>
    <w:rsid w:val="009E6AF9"/>
    <w:rsid w:val="009E6B6D"/>
    <w:rsid w:val="009E6BF8"/>
    <w:rsid w:val="009E6C7E"/>
    <w:rsid w:val="009E6CB8"/>
    <w:rsid w:val="009E6D63"/>
    <w:rsid w:val="009E6D64"/>
    <w:rsid w:val="009E7002"/>
    <w:rsid w:val="009E714B"/>
    <w:rsid w:val="009E7359"/>
    <w:rsid w:val="009E7689"/>
    <w:rsid w:val="009E7692"/>
    <w:rsid w:val="009E77CA"/>
    <w:rsid w:val="009E7A48"/>
    <w:rsid w:val="009E7D59"/>
    <w:rsid w:val="009E7D6B"/>
    <w:rsid w:val="009F043B"/>
    <w:rsid w:val="009F0AEC"/>
    <w:rsid w:val="009F0D2F"/>
    <w:rsid w:val="009F0E7A"/>
    <w:rsid w:val="009F0F68"/>
    <w:rsid w:val="009F12E4"/>
    <w:rsid w:val="009F1346"/>
    <w:rsid w:val="009F153B"/>
    <w:rsid w:val="009F1651"/>
    <w:rsid w:val="009F1933"/>
    <w:rsid w:val="009F1984"/>
    <w:rsid w:val="009F1A83"/>
    <w:rsid w:val="009F1ABF"/>
    <w:rsid w:val="009F1DD1"/>
    <w:rsid w:val="009F2088"/>
    <w:rsid w:val="009F22DA"/>
    <w:rsid w:val="009F250C"/>
    <w:rsid w:val="009F2646"/>
    <w:rsid w:val="009F2716"/>
    <w:rsid w:val="009F277E"/>
    <w:rsid w:val="009F2B32"/>
    <w:rsid w:val="009F2BF7"/>
    <w:rsid w:val="009F2DA1"/>
    <w:rsid w:val="009F2DFE"/>
    <w:rsid w:val="009F2EFD"/>
    <w:rsid w:val="009F3029"/>
    <w:rsid w:val="009F34BB"/>
    <w:rsid w:val="009F3686"/>
    <w:rsid w:val="009F37B5"/>
    <w:rsid w:val="009F38A7"/>
    <w:rsid w:val="009F3B71"/>
    <w:rsid w:val="009F3BD8"/>
    <w:rsid w:val="009F3C28"/>
    <w:rsid w:val="009F3E2E"/>
    <w:rsid w:val="009F4172"/>
    <w:rsid w:val="009F41E5"/>
    <w:rsid w:val="009F45B7"/>
    <w:rsid w:val="009F463E"/>
    <w:rsid w:val="009F4660"/>
    <w:rsid w:val="009F4662"/>
    <w:rsid w:val="009F4668"/>
    <w:rsid w:val="009F475F"/>
    <w:rsid w:val="009F4AA4"/>
    <w:rsid w:val="009F4D29"/>
    <w:rsid w:val="009F4EF7"/>
    <w:rsid w:val="009F5067"/>
    <w:rsid w:val="009F515B"/>
    <w:rsid w:val="009F5338"/>
    <w:rsid w:val="009F547C"/>
    <w:rsid w:val="009F551A"/>
    <w:rsid w:val="009F565A"/>
    <w:rsid w:val="009F588B"/>
    <w:rsid w:val="009F594A"/>
    <w:rsid w:val="009F5CB5"/>
    <w:rsid w:val="009F5D5D"/>
    <w:rsid w:val="009F5EC1"/>
    <w:rsid w:val="009F6066"/>
    <w:rsid w:val="009F637C"/>
    <w:rsid w:val="009F6415"/>
    <w:rsid w:val="009F6512"/>
    <w:rsid w:val="009F6557"/>
    <w:rsid w:val="009F66AD"/>
    <w:rsid w:val="009F6AA6"/>
    <w:rsid w:val="009F6AB6"/>
    <w:rsid w:val="009F6B2A"/>
    <w:rsid w:val="009F6DD9"/>
    <w:rsid w:val="009F6F46"/>
    <w:rsid w:val="009F7080"/>
    <w:rsid w:val="009F70A4"/>
    <w:rsid w:val="009F70AF"/>
    <w:rsid w:val="009F7434"/>
    <w:rsid w:val="009F756E"/>
    <w:rsid w:val="009F7590"/>
    <w:rsid w:val="009F794A"/>
    <w:rsid w:val="009F7A3D"/>
    <w:rsid w:val="009F7BBC"/>
    <w:rsid w:val="009F7BF7"/>
    <w:rsid w:val="009F7DA7"/>
    <w:rsid w:val="00A00030"/>
    <w:rsid w:val="00A00039"/>
    <w:rsid w:val="00A00509"/>
    <w:rsid w:val="00A0068E"/>
    <w:rsid w:val="00A0074C"/>
    <w:rsid w:val="00A00902"/>
    <w:rsid w:val="00A009FC"/>
    <w:rsid w:val="00A00BCB"/>
    <w:rsid w:val="00A00BE1"/>
    <w:rsid w:val="00A00CD1"/>
    <w:rsid w:val="00A00D5D"/>
    <w:rsid w:val="00A00DC2"/>
    <w:rsid w:val="00A0103D"/>
    <w:rsid w:val="00A01045"/>
    <w:rsid w:val="00A01491"/>
    <w:rsid w:val="00A01550"/>
    <w:rsid w:val="00A01647"/>
    <w:rsid w:val="00A01769"/>
    <w:rsid w:val="00A01774"/>
    <w:rsid w:val="00A0179B"/>
    <w:rsid w:val="00A01857"/>
    <w:rsid w:val="00A01ADC"/>
    <w:rsid w:val="00A01C2F"/>
    <w:rsid w:val="00A01E18"/>
    <w:rsid w:val="00A020AA"/>
    <w:rsid w:val="00A020FC"/>
    <w:rsid w:val="00A026D7"/>
    <w:rsid w:val="00A027CD"/>
    <w:rsid w:val="00A029FC"/>
    <w:rsid w:val="00A02C87"/>
    <w:rsid w:val="00A02D20"/>
    <w:rsid w:val="00A02F01"/>
    <w:rsid w:val="00A03082"/>
    <w:rsid w:val="00A0338B"/>
    <w:rsid w:val="00A0350D"/>
    <w:rsid w:val="00A039F0"/>
    <w:rsid w:val="00A03AFF"/>
    <w:rsid w:val="00A03CAB"/>
    <w:rsid w:val="00A03CBF"/>
    <w:rsid w:val="00A03D84"/>
    <w:rsid w:val="00A03FF3"/>
    <w:rsid w:val="00A04097"/>
    <w:rsid w:val="00A0409A"/>
    <w:rsid w:val="00A0409C"/>
    <w:rsid w:val="00A04133"/>
    <w:rsid w:val="00A04202"/>
    <w:rsid w:val="00A0425B"/>
    <w:rsid w:val="00A04421"/>
    <w:rsid w:val="00A045D4"/>
    <w:rsid w:val="00A04619"/>
    <w:rsid w:val="00A046B5"/>
    <w:rsid w:val="00A04739"/>
    <w:rsid w:val="00A04817"/>
    <w:rsid w:val="00A0493B"/>
    <w:rsid w:val="00A049E8"/>
    <w:rsid w:val="00A04A69"/>
    <w:rsid w:val="00A04A73"/>
    <w:rsid w:val="00A04C13"/>
    <w:rsid w:val="00A04C2C"/>
    <w:rsid w:val="00A04C9F"/>
    <w:rsid w:val="00A04F6A"/>
    <w:rsid w:val="00A0507C"/>
    <w:rsid w:val="00A05174"/>
    <w:rsid w:val="00A054AD"/>
    <w:rsid w:val="00A054C5"/>
    <w:rsid w:val="00A0568E"/>
    <w:rsid w:val="00A056DC"/>
    <w:rsid w:val="00A05819"/>
    <w:rsid w:val="00A05A66"/>
    <w:rsid w:val="00A05B1E"/>
    <w:rsid w:val="00A05B61"/>
    <w:rsid w:val="00A062A2"/>
    <w:rsid w:val="00A062C4"/>
    <w:rsid w:val="00A0634B"/>
    <w:rsid w:val="00A06807"/>
    <w:rsid w:val="00A06944"/>
    <w:rsid w:val="00A06B8A"/>
    <w:rsid w:val="00A06D36"/>
    <w:rsid w:val="00A070D7"/>
    <w:rsid w:val="00A073F5"/>
    <w:rsid w:val="00A0758F"/>
    <w:rsid w:val="00A0787B"/>
    <w:rsid w:val="00A0797A"/>
    <w:rsid w:val="00A07A4A"/>
    <w:rsid w:val="00A07A6E"/>
    <w:rsid w:val="00A07A73"/>
    <w:rsid w:val="00A07C5C"/>
    <w:rsid w:val="00A07C62"/>
    <w:rsid w:val="00A07C72"/>
    <w:rsid w:val="00A07D4C"/>
    <w:rsid w:val="00A07DCC"/>
    <w:rsid w:val="00A07F68"/>
    <w:rsid w:val="00A07F78"/>
    <w:rsid w:val="00A1000C"/>
    <w:rsid w:val="00A10198"/>
    <w:rsid w:val="00A10307"/>
    <w:rsid w:val="00A10353"/>
    <w:rsid w:val="00A103B9"/>
    <w:rsid w:val="00A1069E"/>
    <w:rsid w:val="00A1086E"/>
    <w:rsid w:val="00A1099C"/>
    <w:rsid w:val="00A10B44"/>
    <w:rsid w:val="00A10C3F"/>
    <w:rsid w:val="00A10D7A"/>
    <w:rsid w:val="00A10DD4"/>
    <w:rsid w:val="00A10F43"/>
    <w:rsid w:val="00A113E8"/>
    <w:rsid w:val="00A11493"/>
    <w:rsid w:val="00A1149D"/>
    <w:rsid w:val="00A11731"/>
    <w:rsid w:val="00A1192D"/>
    <w:rsid w:val="00A11B40"/>
    <w:rsid w:val="00A11B59"/>
    <w:rsid w:val="00A11B8D"/>
    <w:rsid w:val="00A11C19"/>
    <w:rsid w:val="00A12358"/>
    <w:rsid w:val="00A12438"/>
    <w:rsid w:val="00A12563"/>
    <w:rsid w:val="00A126B4"/>
    <w:rsid w:val="00A12BC5"/>
    <w:rsid w:val="00A12C15"/>
    <w:rsid w:val="00A12DB6"/>
    <w:rsid w:val="00A1302C"/>
    <w:rsid w:val="00A13486"/>
    <w:rsid w:val="00A137EE"/>
    <w:rsid w:val="00A13920"/>
    <w:rsid w:val="00A13E68"/>
    <w:rsid w:val="00A13FBB"/>
    <w:rsid w:val="00A1410C"/>
    <w:rsid w:val="00A14134"/>
    <w:rsid w:val="00A14396"/>
    <w:rsid w:val="00A14522"/>
    <w:rsid w:val="00A147D6"/>
    <w:rsid w:val="00A147EA"/>
    <w:rsid w:val="00A148C6"/>
    <w:rsid w:val="00A149FF"/>
    <w:rsid w:val="00A14C0A"/>
    <w:rsid w:val="00A14DF4"/>
    <w:rsid w:val="00A14E36"/>
    <w:rsid w:val="00A152AF"/>
    <w:rsid w:val="00A15396"/>
    <w:rsid w:val="00A15505"/>
    <w:rsid w:val="00A15660"/>
    <w:rsid w:val="00A1578B"/>
    <w:rsid w:val="00A159D4"/>
    <w:rsid w:val="00A15A32"/>
    <w:rsid w:val="00A15BF8"/>
    <w:rsid w:val="00A15CCC"/>
    <w:rsid w:val="00A15D89"/>
    <w:rsid w:val="00A15DCE"/>
    <w:rsid w:val="00A15F3F"/>
    <w:rsid w:val="00A16190"/>
    <w:rsid w:val="00A161D2"/>
    <w:rsid w:val="00A16288"/>
    <w:rsid w:val="00A16414"/>
    <w:rsid w:val="00A166A6"/>
    <w:rsid w:val="00A1697B"/>
    <w:rsid w:val="00A16AE8"/>
    <w:rsid w:val="00A16D43"/>
    <w:rsid w:val="00A17040"/>
    <w:rsid w:val="00A170DC"/>
    <w:rsid w:val="00A171E0"/>
    <w:rsid w:val="00A171E5"/>
    <w:rsid w:val="00A172CC"/>
    <w:rsid w:val="00A173EC"/>
    <w:rsid w:val="00A17495"/>
    <w:rsid w:val="00A1768F"/>
    <w:rsid w:val="00A176B7"/>
    <w:rsid w:val="00A1787B"/>
    <w:rsid w:val="00A1799E"/>
    <w:rsid w:val="00A17AAC"/>
    <w:rsid w:val="00A17C0F"/>
    <w:rsid w:val="00A17C68"/>
    <w:rsid w:val="00A17C9C"/>
    <w:rsid w:val="00A17E04"/>
    <w:rsid w:val="00A17E43"/>
    <w:rsid w:val="00A17EEB"/>
    <w:rsid w:val="00A20104"/>
    <w:rsid w:val="00A20694"/>
    <w:rsid w:val="00A208A9"/>
    <w:rsid w:val="00A20A4A"/>
    <w:rsid w:val="00A20E10"/>
    <w:rsid w:val="00A20E2E"/>
    <w:rsid w:val="00A20F8B"/>
    <w:rsid w:val="00A21006"/>
    <w:rsid w:val="00A2133F"/>
    <w:rsid w:val="00A21429"/>
    <w:rsid w:val="00A2172A"/>
    <w:rsid w:val="00A217B5"/>
    <w:rsid w:val="00A21AEA"/>
    <w:rsid w:val="00A21B01"/>
    <w:rsid w:val="00A21D9A"/>
    <w:rsid w:val="00A21DAC"/>
    <w:rsid w:val="00A22146"/>
    <w:rsid w:val="00A2244B"/>
    <w:rsid w:val="00A2268A"/>
    <w:rsid w:val="00A226F3"/>
    <w:rsid w:val="00A22758"/>
    <w:rsid w:val="00A227DD"/>
    <w:rsid w:val="00A2285C"/>
    <w:rsid w:val="00A22864"/>
    <w:rsid w:val="00A228BD"/>
    <w:rsid w:val="00A229A1"/>
    <w:rsid w:val="00A22B29"/>
    <w:rsid w:val="00A22F76"/>
    <w:rsid w:val="00A23184"/>
    <w:rsid w:val="00A23367"/>
    <w:rsid w:val="00A233D2"/>
    <w:rsid w:val="00A236AA"/>
    <w:rsid w:val="00A23909"/>
    <w:rsid w:val="00A23BDD"/>
    <w:rsid w:val="00A23EA4"/>
    <w:rsid w:val="00A23F7F"/>
    <w:rsid w:val="00A2444E"/>
    <w:rsid w:val="00A24521"/>
    <w:rsid w:val="00A245C8"/>
    <w:rsid w:val="00A24839"/>
    <w:rsid w:val="00A24B2A"/>
    <w:rsid w:val="00A24BBE"/>
    <w:rsid w:val="00A24BDC"/>
    <w:rsid w:val="00A24DF6"/>
    <w:rsid w:val="00A24E69"/>
    <w:rsid w:val="00A24FB9"/>
    <w:rsid w:val="00A250F6"/>
    <w:rsid w:val="00A2539C"/>
    <w:rsid w:val="00A2544D"/>
    <w:rsid w:val="00A25854"/>
    <w:rsid w:val="00A2592E"/>
    <w:rsid w:val="00A25B00"/>
    <w:rsid w:val="00A25BAA"/>
    <w:rsid w:val="00A25BFE"/>
    <w:rsid w:val="00A25CFA"/>
    <w:rsid w:val="00A25DF2"/>
    <w:rsid w:val="00A25EED"/>
    <w:rsid w:val="00A260FE"/>
    <w:rsid w:val="00A26187"/>
    <w:rsid w:val="00A261BD"/>
    <w:rsid w:val="00A26472"/>
    <w:rsid w:val="00A26615"/>
    <w:rsid w:val="00A266AA"/>
    <w:rsid w:val="00A269A7"/>
    <w:rsid w:val="00A269AD"/>
    <w:rsid w:val="00A26ADA"/>
    <w:rsid w:val="00A26BB4"/>
    <w:rsid w:val="00A26C8B"/>
    <w:rsid w:val="00A26DE0"/>
    <w:rsid w:val="00A26F46"/>
    <w:rsid w:val="00A26FE8"/>
    <w:rsid w:val="00A2719E"/>
    <w:rsid w:val="00A27344"/>
    <w:rsid w:val="00A2736D"/>
    <w:rsid w:val="00A273A8"/>
    <w:rsid w:val="00A27CC1"/>
    <w:rsid w:val="00A27EE6"/>
    <w:rsid w:val="00A30082"/>
    <w:rsid w:val="00A3034D"/>
    <w:rsid w:val="00A3058E"/>
    <w:rsid w:val="00A3066D"/>
    <w:rsid w:val="00A307DC"/>
    <w:rsid w:val="00A30847"/>
    <w:rsid w:val="00A30952"/>
    <w:rsid w:val="00A30A7B"/>
    <w:rsid w:val="00A30B75"/>
    <w:rsid w:val="00A30E39"/>
    <w:rsid w:val="00A30E40"/>
    <w:rsid w:val="00A30E5F"/>
    <w:rsid w:val="00A30F26"/>
    <w:rsid w:val="00A3107C"/>
    <w:rsid w:val="00A31477"/>
    <w:rsid w:val="00A31693"/>
    <w:rsid w:val="00A316A5"/>
    <w:rsid w:val="00A317BE"/>
    <w:rsid w:val="00A318D1"/>
    <w:rsid w:val="00A31AEE"/>
    <w:rsid w:val="00A31C34"/>
    <w:rsid w:val="00A31C67"/>
    <w:rsid w:val="00A31EF9"/>
    <w:rsid w:val="00A31F63"/>
    <w:rsid w:val="00A32050"/>
    <w:rsid w:val="00A320AE"/>
    <w:rsid w:val="00A322E7"/>
    <w:rsid w:val="00A3233B"/>
    <w:rsid w:val="00A32387"/>
    <w:rsid w:val="00A323B4"/>
    <w:rsid w:val="00A323F2"/>
    <w:rsid w:val="00A32568"/>
    <w:rsid w:val="00A3270F"/>
    <w:rsid w:val="00A32754"/>
    <w:rsid w:val="00A3276C"/>
    <w:rsid w:val="00A327DF"/>
    <w:rsid w:val="00A32D18"/>
    <w:rsid w:val="00A32D2B"/>
    <w:rsid w:val="00A32F7D"/>
    <w:rsid w:val="00A33075"/>
    <w:rsid w:val="00A330B6"/>
    <w:rsid w:val="00A330F7"/>
    <w:rsid w:val="00A331B5"/>
    <w:rsid w:val="00A33295"/>
    <w:rsid w:val="00A33334"/>
    <w:rsid w:val="00A33341"/>
    <w:rsid w:val="00A3340A"/>
    <w:rsid w:val="00A33436"/>
    <w:rsid w:val="00A3359B"/>
    <w:rsid w:val="00A335CD"/>
    <w:rsid w:val="00A3363B"/>
    <w:rsid w:val="00A336A8"/>
    <w:rsid w:val="00A339C8"/>
    <w:rsid w:val="00A339F2"/>
    <w:rsid w:val="00A33BA9"/>
    <w:rsid w:val="00A33C7E"/>
    <w:rsid w:val="00A33F27"/>
    <w:rsid w:val="00A3424D"/>
    <w:rsid w:val="00A34340"/>
    <w:rsid w:val="00A3473B"/>
    <w:rsid w:val="00A34828"/>
    <w:rsid w:val="00A34891"/>
    <w:rsid w:val="00A348A5"/>
    <w:rsid w:val="00A349D8"/>
    <w:rsid w:val="00A34A8D"/>
    <w:rsid w:val="00A34C10"/>
    <w:rsid w:val="00A34DCD"/>
    <w:rsid w:val="00A34EB0"/>
    <w:rsid w:val="00A35048"/>
    <w:rsid w:val="00A351AC"/>
    <w:rsid w:val="00A351F3"/>
    <w:rsid w:val="00A352C6"/>
    <w:rsid w:val="00A352D3"/>
    <w:rsid w:val="00A35622"/>
    <w:rsid w:val="00A356C1"/>
    <w:rsid w:val="00A356FF"/>
    <w:rsid w:val="00A3573A"/>
    <w:rsid w:val="00A358BF"/>
    <w:rsid w:val="00A35AB1"/>
    <w:rsid w:val="00A35B87"/>
    <w:rsid w:val="00A35CA1"/>
    <w:rsid w:val="00A35F4A"/>
    <w:rsid w:val="00A35F66"/>
    <w:rsid w:val="00A363DA"/>
    <w:rsid w:val="00A36702"/>
    <w:rsid w:val="00A3672D"/>
    <w:rsid w:val="00A36748"/>
    <w:rsid w:val="00A36951"/>
    <w:rsid w:val="00A36957"/>
    <w:rsid w:val="00A3698F"/>
    <w:rsid w:val="00A36C91"/>
    <w:rsid w:val="00A36DE3"/>
    <w:rsid w:val="00A36EC6"/>
    <w:rsid w:val="00A3713F"/>
    <w:rsid w:val="00A37334"/>
    <w:rsid w:val="00A3742A"/>
    <w:rsid w:val="00A37436"/>
    <w:rsid w:val="00A374E6"/>
    <w:rsid w:val="00A37830"/>
    <w:rsid w:val="00A37836"/>
    <w:rsid w:val="00A37CBC"/>
    <w:rsid w:val="00A37E1D"/>
    <w:rsid w:val="00A37FC7"/>
    <w:rsid w:val="00A40014"/>
    <w:rsid w:val="00A403A5"/>
    <w:rsid w:val="00A40735"/>
    <w:rsid w:val="00A40C3B"/>
    <w:rsid w:val="00A40FA8"/>
    <w:rsid w:val="00A40FBA"/>
    <w:rsid w:val="00A410ED"/>
    <w:rsid w:val="00A41363"/>
    <w:rsid w:val="00A4149B"/>
    <w:rsid w:val="00A41573"/>
    <w:rsid w:val="00A41636"/>
    <w:rsid w:val="00A416C8"/>
    <w:rsid w:val="00A41711"/>
    <w:rsid w:val="00A41A0A"/>
    <w:rsid w:val="00A41B1A"/>
    <w:rsid w:val="00A41C0B"/>
    <w:rsid w:val="00A42020"/>
    <w:rsid w:val="00A420BA"/>
    <w:rsid w:val="00A4227F"/>
    <w:rsid w:val="00A42314"/>
    <w:rsid w:val="00A42636"/>
    <w:rsid w:val="00A42864"/>
    <w:rsid w:val="00A4299A"/>
    <w:rsid w:val="00A429A0"/>
    <w:rsid w:val="00A42A96"/>
    <w:rsid w:val="00A42CD4"/>
    <w:rsid w:val="00A42F44"/>
    <w:rsid w:val="00A433E7"/>
    <w:rsid w:val="00A436F7"/>
    <w:rsid w:val="00A4399D"/>
    <w:rsid w:val="00A43B5D"/>
    <w:rsid w:val="00A43C63"/>
    <w:rsid w:val="00A43D65"/>
    <w:rsid w:val="00A44048"/>
    <w:rsid w:val="00A4407A"/>
    <w:rsid w:val="00A4416F"/>
    <w:rsid w:val="00A441D9"/>
    <w:rsid w:val="00A44201"/>
    <w:rsid w:val="00A44415"/>
    <w:rsid w:val="00A444EC"/>
    <w:rsid w:val="00A449BA"/>
    <w:rsid w:val="00A449F8"/>
    <w:rsid w:val="00A44BEF"/>
    <w:rsid w:val="00A44C8C"/>
    <w:rsid w:val="00A44CA5"/>
    <w:rsid w:val="00A44DA7"/>
    <w:rsid w:val="00A45083"/>
    <w:rsid w:val="00A45234"/>
    <w:rsid w:val="00A454FD"/>
    <w:rsid w:val="00A45538"/>
    <w:rsid w:val="00A45636"/>
    <w:rsid w:val="00A4573F"/>
    <w:rsid w:val="00A4575B"/>
    <w:rsid w:val="00A45B7C"/>
    <w:rsid w:val="00A45CB4"/>
    <w:rsid w:val="00A45F47"/>
    <w:rsid w:val="00A45FCD"/>
    <w:rsid w:val="00A4609D"/>
    <w:rsid w:val="00A460BD"/>
    <w:rsid w:val="00A460BE"/>
    <w:rsid w:val="00A46208"/>
    <w:rsid w:val="00A4648A"/>
    <w:rsid w:val="00A4672F"/>
    <w:rsid w:val="00A46A3C"/>
    <w:rsid w:val="00A46A9D"/>
    <w:rsid w:val="00A46BC1"/>
    <w:rsid w:val="00A46CBC"/>
    <w:rsid w:val="00A46EDD"/>
    <w:rsid w:val="00A46F35"/>
    <w:rsid w:val="00A471FD"/>
    <w:rsid w:val="00A473AA"/>
    <w:rsid w:val="00A47431"/>
    <w:rsid w:val="00A47537"/>
    <w:rsid w:val="00A476FB"/>
    <w:rsid w:val="00A4778D"/>
    <w:rsid w:val="00A47D3F"/>
    <w:rsid w:val="00A47F1E"/>
    <w:rsid w:val="00A5028B"/>
    <w:rsid w:val="00A502AC"/>
    <w:rsid w:val="00A503AD"/>
    <w:rsid w:val="00A504FF"/>
    <w:rsid w:val="00A5058E"/>
    <w:rsid w:val="00A50604"/>
    <w:rsid w:val="00A50751"/>
    <w:rsid w:val="00A50867"/>
    <w:rsid w:val="00A50B44"/>
    <w:rsid w:val="00A50BC9"/>
    <w:rsid w:val="00A51011"/>
    <w:rsid w:val="00A51034"/>
    <w:rsid w:val="00A512F9"/>
    <w:rsid w:val="00A515DE"/>
    <w:rsid w:val="00A51609"/>
    <w:rsid w:val="00A5168B"/>
    <w:rsid w:val="00A517DE"/>
    <w:rsid w:val="00A51AD8"/>
    <w:rsid w:val="00A51E99"/>
    <w:rsid w:val="00A51FBD"/>
    <w:rsid w:val="00A52006"/>
    <w:rsid w:val="00A52039"/>
    <w:rsid w:val="00A52126"/>
    <w:rsid w:val="00A52245"/>
    <w:rsid w:val="00A524D2"/>
    <w:rsid w:val="00A525F0"/>
    <w:rsid w:val="00A528A5"/>
    <w:rsid w:val="00A528DD"/>
    <w:rsid w:val="00A52F37"/>
    <w:rsid w:val="00A5318B"/>
    <w:rsid w:val="00A53260"/>
    <w:rsid w:val="00A53293"/>
    <w:rsid w:val="00A5343C"/>
    <w:rsid w:val="00A534DA"/>
    <w:rsid w:val="00A53717"/>
    <w:rsid w:val="00A5374D"/>
    <w:rsid w:val="00A5378C"/>
    <w:rsid w:val="00A5398E"/>
    <w:rsid w:val="00A53B0A"/>
    <w:rsid w:val="00A53B0D"/>
    <w:rsid w:val="00A53B3F"/>
    <w:rsid w:val="00A53EB4"/>
    <w:rsid w:val="00A53EEE"/>
    <w:rsid w:val="00A541B3"/>
    <w:rsid w:val="00A541FC"/>
    <w:rsid w:val="00A54320"/>
    <w:rsid w:val="00A54348"/>
    <w:rsid w:val="00A544EC"/>
    <w:rsid w:val="00A54574"/>
    <w:rsid w:val="00A546D1"/>
    <w:rsid w:val="00A54A2F"/>
    <w:rsid w:val="00A54F1B"/>
    <w:rsid w:val="00A5559F"/>
    <w:rsid w:val="00A55857"/>
    <w:rsid w:val="00A55A0C"/>
    <w:rsid w:val="00A55D21"/>
    <w:rsid w:val="00A55D5A"/>
    <w:rsid w:val="00A55DDB"/>
    <w:rsid w:val="00A55EAD"/>
    <w:rsid w:val="00A560BE"/>
    <w:rsid w:val="00A561B5"/>
    <w:rsid w:val="00A56458"/>
    <w:rsid w:val="00A564A2"/>
    <w:rsid w:val="00A56537"/>
    <w:rsid w:val="00A5654F"/>
    <w:rsid w:val="00A5668C"/>
    <w:rsid w:val="00A566C7"/>
    <w:rsid w:val="00A56728"/>
    <w:rsid w:val="00A56B85"/>
    <w:rsid w:val="00A56CE4"/>
    <w:rsid w:val="00A56D1B"/>
    <w:rsid w:val="00A56D5B"/>
    <w:rsid w:val="00A56DD1"/>
    <w:rsid w:val="00A56EC5"/>
    <w:rsid w:val="00A56F2C"/>
    <w:rsid w:val="00A56FD9"/>
    <w:rsid w:val="00A572AC"/>
    <w:rsid w:val="00A5735B"/>
    <w:rsid w:val="00A573B7"/>
    <w:rsid w:val="00A57486"/>
    <w:rsid w:val="00A57BEC"/>
    <w:rsid w:val="00A57DFF"/>
    <w:rsid w:val="00A600DC"/>
    <w:rsid w:val="00A601AA"/>
    <w:rsid w:val="00A60BE5"/>
    <w:rsid w:val="00A60C9C"/>
    <w:rsid w:val="00A60CA8"/>
    <w:rsid w:val="00A60CD5"/>
    <w:rsid w:val="00A60D4B"/>
    <w:rsid w:val="00A60DA4"/>
    <w:rsid w:val="00A60EC0"/>
    <w:rsid w:val="00A60F2C"/>
    <w:rsid w:val="00A60FEB"/>
    <w:rsid w:val="00A6153E"/>
    <w:rsid w:val="00A61A45"/>
    <w:rsid w:val="00A61AB0"/>
    <w:rsid w:val="00A61BA7"/>
    <w:rsid w:val="00A61BFD"/>
    <w:rsid w:val="00A61C0F"/>
    <w:rsid w:val="00A61DBF"/>
    <w:rsid w:val="00A61E72"/>
    <w:rsid w:val="00A6206F"/>
    <w:rsid w:val="00A6219C"/>
    <w:rsid w:val="00A622E8"/>
    <w:rsid w:val="00A62604"/>
    <w:rsid w:val="00A6275E"/>
    <w:rsid w:val="00A62973"/>
    <w:rsid w:val="00A62A60"/>
    <w:rsid w:val="00A6316F"/>
    <w:rsid w:val="00A633A5"/>
    <w:rsid w:val="00A634AC"/>
    <w:rsid w:val="00A63649"/>
    <w:rsid w:val="00A63A6F"/>
    <w:rsid w:val="00A63B1F"/>
    <w:rsid w:val="00A63F1D"/>
    <w:rsid w:val="00A640C0"/>
    <w:rsid w:val="00A642C4"/>
    <w:rsid w:val="00A6442A"/>
    <w:rsid w:val="00A6456D"/>
    <w:rsid w:val="00A64850"/>
    <w:rsid w:val="00A64AF1"/>
    <w:rsid w:val="00A64BFB"/>
    <w:rsid w:val="00A64E0B"/>
    <w:rsid w:val="00A650A5"/>
    <w:rsid w:val="00A650D5"/>
    <w:rsid w:val="00A65121"/>
    <w:rsid w:val="00A652D7"/>
    <w:rsid w:val="00A654C7"/>
    <w:rsid w:val="00A654CA"/>
    <w:rsid w:val="00A65602"/>
    <w:rsid w:val="00A65776"/>
    <w:rsid w:val="00A6580F"/>
    <w:rsid w:val="00A6582C"/>
    <w:rsid w:val="00A65AF8"/>
    <w:rsid w:val="00A65C1B"/>
    <w:rsid w:val="00A65E07"/>
    <w:rsid w:val="00A65EE5"/>
    <w:rsid w:val="00A660BF"/>
    <w:rsid w:val="00A662E0"/>
    <w:rsid w:val="00A663BB"/>
    <w:rsid w:val="00A663FD"/>
    <w:rsid w:val="00A66865"/>
    <w:rsid w:val="00A66D99"/>
    <w:rsid w:val="00A66E7C"/>
    <w:rsid w:val="00A66EB6"/>
    <w:rsid w:val="00A672A5"/>
    <w:rsid w:val="00A6734C"/>
    <w:rsid w:val="00A6774E"/>
    <w:rsid w:val="00A67851"/>
    <w:rsid w:val="00A67873"/>
    <w:rsid w:val="00A6798D"/>
    <w:rsid w:val="00A67A41"/>
    <w:rsid w:val="00A67BEF"/>
    <w:rsid w:val="00A67DC6"/>
    <w:rsid w:val="00A67EED"/>
    <w:rsid w:val="00A67FAA"/>
    <w:rsid w:val="00A700F6"/>
    <w:rsid w:val="00A70241"/>
    <w:rsid w:val="00A703F6"/>
    <w:rsid w:val="00A705A7"/>
    <w:rsid w:val="00A7061F"/>
    <w:rsid w:val="00A706E7"/>
    <w:rsid w:val="00A706FB"/>
    <w:rsid w:val="00A7091B"/>
    <w:rsid w:val="00A7092B"/>
    <w:rsid w:val="00A70BA6"/>
    <w:rsid w:val="00A70FB0"/>
    <w:rsid w:val="00A71064"/>
    <w:rsid w:val="00A710A9"/>
    <w:rsid w:val="00A710AF"/>
    <w:rsid w:val="00A710B7"/>
    <w:rsid w:val="00A710EE"/>
    <w:rsid w:val="00A71310"/>
    <w:rsid w:val="00A7139B"/>
    <w:rsid w:val="00A713F9"/>
    <w:rsid w:val="00A71544"/>
    <w:rsid w:val="00A71603"/>
    <w:rsid w:val="00A716D7"/>
    <w:rsid w:val="00A7177F"/>
    <w:rsid w:val="00A71961"/>
    <w:rsid w:val="00A71AB9"/>
    <w:rsid w:val="00A71B1C"/>
    <w:rsid w:val="00A71E7E"/>
    <w:rsid w:val="00A71FC3"/>
    <w:rsid w:val="00A724E5"/>
    <w:rsid w:val="00A725D4"/>
    <w:rsid w:val="00A7267E"/>
    <w:rsid w:val="00A72864"/>
    <w:rsid w:val="00A72A61"/>
    <w:rsid w:val="00A72A7A"/>
    <w:rsid w:val="00A72AB8"/>
    <w:rsid w:val="00A72DC4"/>
    <w:rsid w:val="00A72F19"/>
    <w:rsid w:val="00A73151"/>
    <w:rsid w:val="00A731CA"/>
    <w:rsid w:val="00A732FD"/>
    <w:rsid w:val="00A734EE"/>
    <w:rsid w:val="00A7353D"/>
    <w:rsid w:val="00A736AC"/>
    <w:rsid w:val="00A73735"/>
    <w:rsid w:val="00A7383B"/>
    <w:rsid w:val="00A7390F"/>
    <w:rsid w:val="00A739A9"/>
    <w:rsid w:val="00A73A12"/>
    <w:rsid w:val="00A73C05"/>
    <w:rsid w:val="00A73C14"/>
    <w:rsid w:val="00A73CE7"/>
    <w:rsid w:val="00A73ECD"/>
    <w:rsid w:val="00A741B8"/>
    <w:rsid w:val="00A7442C"/>
    <w:rsid w:val="00A74444"/>
    <w:rsid w:val="00A7458D"/>
    <w:rsid w:val="00A7467C"/>
    <w:rsid w:val="00A74747"/>
    <w:rsid w:val="00A74950"/>
    <w:rsid w:val="00A74CDB"/>
    <w:rsid w:val="00A75492"/>
    <w:rsid w:val="00A7549A"/>
    <w:rsid w:val="00A75542"/>
    <w:rsid w:val="00A75588"/>
    <w:rsid w:val="00A75618"/>
    <w:rsid w:val="00A75818"/>
    <w:rsid w:val="00A75A1C"/>
    <w:rsid w:val="00A75CB9"/>
    <w:rsid w:val="00A75DF7"/>
    <w:rsid w:val="00A760F2"/>
    <w:rsid w:val="00A761C8"/>
    <w:rsid w:val="00A763C7"/>
    <w:rsid w:val="00A764E4"/>
    <w:rsid w:val="00A765DD"/>
    <w:rsid w:val="00A76685"/>
    <w:rsid w:val="00A76A07"/>
    <w:rsid w:val="00A76A13"/>
    <w:rsid w:val="00A76A56"/>
    <w:rsid w:val="00A76C06"/>
    <w:rsid w:val="00A76C80"/>
    <w:rsid w:val="00A76E6D"/>
    <w:rsid w:val="00A770E0"/>
    <w:rsid w:val="00A77124"/>
    <w:rsid w:val="00A773F4"/>
    <w:rsid w:val="00A7743D"/>
    <w:rsid w:val="00A77A5A"/>
    <w:rsid w:val="00A77B6C"/>
    <w:rsid w:val="00A77C85"/>
    <w:rsid w:val="00A77D8B"/>
    <w:rsid w:val="00A77D92"/>
    <w:rsid w:val="00A77DB6"/>
    <w:rsid w:val="00A77E83"/>
    <w:rsid w:val="00A80088"/>
    <w:rsid w:val="00A8012F"/>
    <w:rsid w:val="00A8025D"/>
    <w:rsid w:val="00A80434"/>
    <w:rsid w:val="00A804C3"/>
    <w:rsid w:val="00A80665"/>
    <w:rsid w:val="00A8068F"/>
    <w:rsid w:val="00A807DE"/>
    <w:rsid w:val="00A80819"/>
    <w:rsid w:val="00A80952"/>
    <w:rsid w:val="00A80B62"/>
    <w:rsid w:val="00A80B79"/>
    <w:rsid w:val="00A80B86"/>
    <w:rsid w:val="00A80C3F"/>
    <w:rsid w:val="00A81054"/>
    <w:rsid w:val="00A81369"/>
    <w:rsid w:val="00A81439"/>
    <w:rsid w:val="00A815C4"/>
    <w:rsid w:val="00A81612"/>
    <w:rsid w:val="00A81699"/>
    <w:rsid w:val="00A818BB"/>
    <w:rsid w:val="00A8197F"/>
    <w:rsid w:val="00A81B1B"/>
    <w:rsid w:val="00A81B44"/>
    <w:rsid w:val="00A81B45"/>
    <w:rsid w:val="00A81BF5"/>
    <w:rsid w:val="00A81E81"/>
    <w:rsid w:val="00A81ECF"/>
    <w:rsid w:val="00A81EEE"/>
    <w:rsid w:val="00A8204B"/>
    <w:rsid w:val="00A82111"/>
    <w:rsid w:val="00A8218B"/>
    <w:rsid w:val="00A825AE"/>
    <w:rsid w:val="00A825C9"/>
    <w:rsid w:val="00A82741"/>
    <w:rsid w:val="00A827C9"/>
    <w:rsid w:val="00A82AB6"/>
    <w:rsid w:val="00A82F7A"/>
    <w:rsid w:val="00A830C9"/>
    <w:rsid w:val="00A832D2"/>
    <w:rsid w:val="00A832FA"/>
    <w:rsid w:val="00A836D5"/>
    <w:rsid w:val="00A836E2"/>
    <w:rsid w:val="00A83919"/>
    <w:rsid w:val="00A839A5"/>
    <w:rsid w:val="00A83C0E"/>
    <w:rsid w:val="00A8400D"/>
    <w:rsid w:val="00A84409"/>
    <w:rsid w:val="00A84465"/>
    <w:rsid w:val="00A84610"/>
    <w:rsid w:val="00A84680"/>
    <w:rsid w:val="00A84B7B"/>
    <w:rsid w:val="00A84CA6"/>
    <w:rsid w:val="00A84D16"/>
    <w:rsid w:val="00A84E6A"/>
    <w:rsid w:val="00A8519A"/>
    <w:rsid w:val="00A85248"/>
    <w:rsid w:val="00A85346"/>
    <w:rsid w:val="00A853E4"/>
    <w:rsid w:val="00A8545C"/>
    <w:rsid w:val="00A85A60"/>
    <w:rsid w:val="00A85B2F"/>
    <w:rsid w:val="00A85D24"/>
    <w:rsid w:val="00A85E53"/>
    <w:rsid w:val="00A85EA2"/>
    <w:rsid w:val="00A85F31"/>
    <w:rsid w:val="00A85FD6"/>
    <w:rsid w:val="00A85FE4"/>
    <w:rsid w:val="00A86293"/>
    <w:rsid w:val="00A86316"/>
    <w:rsid w:val="00A8636C"/>
    <w:rsid w:val="00A8642D"/>
    <w:rsid w:val="00A864F3"/>
    <w:rsid w:val="00A86807"/>
    <w:rsid w:val="00A86A44"/>
    <w:rsid w:val="00A86B87"/>
    <w:rsid w:val="00A86B92"/>
    <w:rsid w:val="00A86BAE"/>
    <w:rsid w:val="00A86D47"/>
    <w:rsid w:val="00A86EB0"/>
    <w:rsid w:val="00A87568"/>
    <w:rsid w:val="00A87742"/>
    <w:rsid w:val="00A878AC"/>
    <w:rsid w:val="00A87938"/>
    <w:rsid w:val="00A879EB"/>
    <w:rsid w:val="00A87A4C"/>
    <w:rsid w:val="00A87B66"/>
    <w:rsid w:val="00A87D33"/>
    <w:rsid w:val="00A87EB5"/>
    <w:rsid w:val="00A90616"/>
    <w:rsid w:val="00A906CE"/>
    <w:rsid w:val="00A906FF"/>
    <w:rsid w:val="00A908FF"/>
    <w:rsid w:val="00A90A08"/>
    <w:rsid w:val="00A90B43"/>
    <w:rsid w:val="00A90B7B"/>
    <w:rsid w:val="00A90E51"/>
    <w:rsid w:val="00A91005"/>
    <w:rsid w:val="00A910B4"/>
    <w:rsid w:val="00A91184"/>
    <w:rsid w:val="00A9150F"/>
    <w:rsid w:val="00A916E0"/>
    <w:rsid w:val="00A91796"/>
    <w:rsid w:val="00A9181D"/>
    <w:rsid w:val="00A918FB"/>
    <w:rsid w:val="00A919A1"/>
    <w:rsid w:val="00A91AEE"/>
    <w:rsid w:val="00A91B8A"/>
    <w:rsid w:val="00A91E8C"/>
    <w:rsid w:val="00A91F12"/>
    <w:rsid w:val="00A92295"/>
    <w:rsid w:val="00A925F3"/>
    <w:rsid w:val="00A92602"/>
    <w:rsid w:val="00A92891"/>
    <w:rsid w:val="00A92943"/>
    <w:rsid w:val="00A92C3D"/>
    <w:rsid w:val="00A92CAD"/>
    <w:rsid w:val="00A92D83"/>
    <w:rsid w:val="00A92E66"/>
    <w:rsid w:val="00A92EA8"/>
    <w:rsid w:val="00A92F91"/>
    <w:rsid w:val="00A92FCF"/>
    <w:rsid w:val="00A9349E"/>
    <w:rsid w:val="00A935B1"/>
    <w:rsid w:val="00A93609"/>
    <w:rsid w:val="00A9362A"/>
    <w:rsid w:val="00A9378B"/>
    <w:rsid w:val="00A93822"/>
    <w:rsid w:val="00A93850"/>
    <w:rsid w:val="00A9388A"/>
    <w:rsid w:val="00A9393C"/>
    <w:rsid w:val="00A93AC9"/>
    <w:rsid w:val="00A93DAA"/>
    <w:rsid w:val="00A93E96"/>
    <w:rsid w:val="00A9408B"/>
    <w:rsid w:val="00A940EC"/>
    <w:rsid w:val="00A9410C"/>
    <w:rsid w:val="00A941A9"/>
    <w:rsid w:val="00A941BE"/>
    <w:rsid w:val="00A9463E"/>
    <w:rsid w:val="00A946C7"/>
    <w:rsid w:val="00A9482D"/>
    <w:rsid w:val="00A9484B"/>
    <w:rsid w:val="00A948C6"/>
    <w:rsid w:val="00A94AFF"/>
    <w:rsid w:val="00A94FFD"/>
    <w:rsid w:val="00A95084"/>
    <w:rsid w:val="00A95099"/>
    <w:rsid w:val="00A950E9"/>
    <w:rsid w:val="00A95104"/>
    <w:rsid w:val="00A9531B"/>
    <w:rsid w:val="00A95375"/>
    <w:rsid w:val="00A95386"/>
    <w:rsid w:val="00A95649"/>
    <w:rsid w:val="00A95746"/>
    <w:rsid w:val="00A95BDA"/>
    <w:rsid w:val="00A95C09"/>
    <w:rsid w:val="00A95CAD"/>
    <w:rsid w:val="00A95E2C"/>
    <w:rsid w:val="00A95FF3"/>
    <w:rsid w:val="00A96067"/>
    <w:rsid w:val="00A960BF"/>
    <w:rsid w:val="00A96103"/>
    <w:rsid w:val="00A965E8"/>
    <w:rsid w:val="00A968B6"/>
    <w:rsid w:val="00A968C2"/>
    <w:rsid w:val="00A969DE"/>
    <w:rsid w:val="00A96DD9"/>
    <w:rsid w:val="00A96EB9"/>
    <w:rsid w:val="00A9700A"/>
    <w:rsid w:val="00A9701E"/>
    <w:rsid w:val="00A97118"/>
    <w:rsid w:val="00A9753D"/>
    <w:rsid w:val="00A979A8"/>
    <w:rsid w:val="00A97B31"/>
    <w:rsid w:val="00A97B61"/>
    <w:rsid w:val="00A97F61"/>
    <w:rsid w:val="00AA00C7"/>
    <w:rsid w:val="00AA060F"/>
    <w:rsid w:val="00AA06EB"/>
    <w:rsid w:val="00AA07C9"/>
    <w:rsid w:val="00AA07DE"/>
    <w:rsid w:val="00AA0E4E"/>
    <w:rsid w:val="00AA0FAE"/>
    <w:rsid w:val="00AA0FB4"/>
    <w:rsid w:val="00AA0FDC"/>
    <w:rsid w:val="00AA111A"/>
    <w:rsid w:val="00AA119B"/>
    <w:rsid w:val="00AA1387"/>
    <w:rsid w:val="00AA1481"/>
    <w:rsid w:val="00AA17BF"/>
    <w:rsid w:val="00AA17E3"/>
    <w:rsid w:val="00AA1861"/>
    <w:rsid w:val="00AA1A9F"/>
    <w:rsid w:val="00AA1AE2"/>
    <w:rsid w:val="00AA1B7F"/>
    <w:rsid w:val="00AA1E75"/>
    <w:rsid w:val="00AA1FC5"/>
    <w:rsid w:val="00AA1FD8"/>
    <w:rsid w:val="00AA2101"/>
    <w:rsid w:val="00AA2331"/>
    <w:rsid w:val="00AA2414"/>
    <w:rsid w:val="00AA25B9"/>
    <w:rsid w:val="00AA25E0"/>
    <w:rsid w:val="00AA2622"/>
    <w:rsid w:val="00AA2744"/>
    <w:rsid w:val="00AA278F"/>
    <w:rsid w:val="00AA289D"/>
    <w:rsid w:val="00AA28E1"/>
    <w:rsid w:val="00AA2D35"/>
    <w:rsid w:val="00AA2E3E"/>
    <w:rsid w:val="00AA2F46"/>
    <w:rsid w:val="00AA2FB7"/>
    <w:rsid w:val="00AA3206"/>
    <w:rsid w:val="00AA32E4"/>
    <w:rsid w:val="00AA3416"/>
    <w:rsid w:val="00AA3451"/>
    <w:rsid w:val="00AA35A4"/>
    <w:rsid w:val="00AA37F1"/>
    <w:rsid w:val="00AA3807"/>
    <w:rsid w:val="00AA3847"/>
    <w:rsid w:val="00AA3AC5"/>
    <w:rsid w:val="00AA3B8A"/>
    <w:rsid w:val="00AA3BE8"/>
    <w:rsid w:val="00AA41EC"/>
    <w:rsid w:val="00AA44A4"/>
    <w:rsid w:val="00AA4684"/>
    <w:rsid w:val="00AA47FE"/>
    <w:rsid w:val="00AA4A44"/>
    <w:rsid w:val="00AA4B95"/>
    <w:rsid w:val="00AA4F64"/>
    <w:rsid w:val="00AA4FC6"/>
    <w:rsid w:val="00AA5060"/>
    <w:rsid w:val="00AA53A0"/>
    <w:rsid w:val="00AA53D2"/>
    <w:rsid w:val="00AA53EF"/>
    <w:rsid w:val="00AA557A"/>
    <w:rsid w:val="00AA564B"/>
    <w:rsid w:val="00AA5B1A"/>
    <w:rsid w:val="00AA5B7D"/>
    <w:rsid w:val="00AA5F3D"/>
    <w:rsid w:val="00AA5F5A"/>
    <w:rsid w:val="00AA5F5D"/>
    <w:rsid w:val="00AA5F96"/>
    <w:rsid w:val="00AA6220"/>
    <w:rsid w:val="00AA63CA"/>
    <w:rsid w:val="00AA665D"/>
    <w:rsid w:val="00AA668C"/>
    <w:rsid w:val="00AA66C3"/>
    <w:rsid w:val="00AA6A1B"/>
    <w:rsid w:val="00AA6A8F"/>
    <w:rsid w:val="00AA6C37"/>
    <w:rsid w:val="00AA6C68"/>
    <w:rsid w:val="00AA6E08"/>
    <w:rsid w:val="00AA6EF1"/>
    <w:rsid w:val="00AA6F5B"/>
    <w:rsid w:val="00AA7007"/>
    <w:rsid w:val="00AA70FE"/>
    <w:rsid w:val="00AA7211"/>
    <w:rsid w:val="00AA72B9"/>
    <w:rsid w:val="00AA7490"/>
    <w:rsid w:val="00AA7867"/>
    <w:rsid w:val="00AA79D0"/>
    <w:rsid w:val="00AA79DC"/>
    <w:rsid w:val="00AA7C4A"/>
    <w:rsid w:val="00AA7E1D"/>
    <w:rsid w:val="00AA7F3B"/>
    <w:rsid w:val="00AB06AF"/>
    <w:rsid w:val="00AB0745"/>
    <w:rsid w:val="00AB0BE8"/>
    <w:rsid w:val="00AB0F11"/>
    <w:rsid w:val="00AB0FB6"/>
    <w:rsid w:val="00AB1249"/>
    <w:rsid w:val="00AB13CE"/>
    <w:rsid w:val="00AB15AA"/>
    <w:rsid w:val="00AB15FA"/>
    <w:rsid w:val="00AB17B0"/>
    <w:rsid w:val="00AB1933"/>
    <w:rsid w:val="00AB1AF2"/>
    <w:rsid w:val="00AB1C77"/>
    <w:rsid w:val="00AB1F15"/>
    <w:rsid w:val="00AB1F4B"/>
    <w:rsid w:val="00AB1F5C"/>
    <w:rsid w:val="00AB1F66"/>
    <w:rsid w:val="00AB1FDD"/>
    <w:rsid w:val="00AB1FE6"/>
    <w:rsid w:val="00AB2348"/>
    <w:rsid w:val="00AB244F"/>
    <w:rsid w:val="00AB2540"/>
    <w:rsid w:val="00AB28B9"/>
    <w:rsid w:val="00AB29C1"/>
    <w:rsid w:val="00AB2A8F"/>
    <w:rsid w:val="00AB2AD0"/>
    <w:rsid w:val="00AB2E1C"/>
    <w:rsid w:val="00AB3046"/>
    <w:rsid w:val="00AB35F9"/>
    <w:rsid w:val="00AB35FD"/>
    <w:rsid w:val="00AB367C"/>
    <w:rsid w:val="00AB38E0"/>
    <w:rsid w:val="00AB3993"/>
    <w:rsid w:val="00AB3B38"/>
    <w:rsid w:val="00AB4022"/>
    <w:rsid w:val="00AB4024"/>
    <w:rsid w:val="00AB4052"/>
    <w:rsid w:val="00AB40B6"/>
    <w:rsid w:val="00AB4237"/>
    <w:rsid w:val="00AB428D"/>
    <w:rsid w:val="00AB43A1"/>
    <w:rsid w:val="00AB45DC"/>
    <w:rsid w:val="00AB466C"/>
    <w:rsid w:val="00AB46E6"/>
    <w:rsid w:val="00AB47A2"/>
    <w:rsid w:val="00AB4918"/>
    <w:rsid w:val="00AB49DB"/>
    <w:rsid w:val="00AB4C03"/>
    <w:rsid w:val="00AB4CC2"/>
    <w:rsid w:val="00AB4E5A"/>
    <w:rsid w:val="00AB4E67"/>
    <w:rsid w:val="00AB4EE0"/>
    <w:rsid w:val="00AB5318"/>
    <w:rsid w:val="00AB55B3"/>
    <w:rsid w:val="00AB567A"/>
    <w:rsid w:val="00AB5698"/>
    <w:rsid w:val="00AB59F0"/>
    <w:rsid w:val="00AB5AA1"/>
    <w:rsid w:val="00AB5CB9"/>
    <w:rsid w:val="00AB5D98"/>
    <w:rsid w:val="00AB5FAA"/>
    <w:rsid w:val="00AB6312"/>
    <w:rsid w:val="00AB64D2"/>
    <w:rsid w:val="00AB665F"/>
    <w:rsid w:val="00AB66AD"/>
    <w:rsid w:val="00AB67ED"/>
    <w:rsid w:val="00AB680E"/>
    <w:rsid w:val="00AB6D62"/>
    <w:rsid w:val="00AB6E2E"/>
    <w:rsid w:val="00AB7141"/>
    <w:rsid w:val="00AB71D0"/>
    <w:rsid w:val="00AB72AB"/>
    <w:rsid w:val="00AB742A"/>
    <w:rsid w:val="00AB76EF"/>
    <w:rsid w:val="00AB785E"/>
    <w:rsid w:val="00AB7908"/>
    <w:rsid w:val="00AB7A38"/>
    <w:rsid w:val="00AB7F05"/>
    <w:rsid w:val="00AC0015"/>
    <w:rsid w:val="00AC0078"/>
    <w:rsid w:val="00AC0160"/>
    <w:rsid w:val="00AC01A4"/>
    <w:rsid w:val="00AC01DF"/>
    <w:rsid w:val="00AC02B2"/>
    <w:rsid w:val="00AC02DB"/>
    <w:rsid w:val="00AC0572"/>
    <w:rsid w:val="00AC0682"/>
    <w:rsid w:val="00AC0B28"/>
    <w:rsid w:val="00AC0C8C"/>
    <w:rsid w:val="00AC0CC6"/>
    <w:rsid w:val="00AC11B0"/>
    <w:rsid w:val="00AC1495"/>
    <w:rsid w:val="00AC1804"/>
    <w:rsid w:val="00AC193A"/>
    <w:rsid w:val="00AC199C"/>
    <w:rsid w:val="00AC1A72"/>
    <w:rsid w:val="00AC1D74"/>
    <w:rsid w:val="00AC1E0C"/>
    <w:rsid w:val="00AC1EDA"/>
    <w:rsid w:val="00AC2349"/>
    <w:rsid w:val="00AC2381"/>
    <w:rsid w:val="00AC2480"/>
    <w:rsid w:val="00AC24B1"/>
    <w:rsid w:val="00AC2502"/>
    <w:rsid w:val="00AC2BB3"/>
    <w:rsid w:val="00AC2D89"/>
    <w:rsid w:val="00AC30CB"/>
    <w:rsid w:val="00AC30F3"/>
    <w:rsid w:val="00AC3329"/>
    <w:rsid w:val="00AC3342"/>
    <w:rsid w:val="00AC3356"/>
    <w:rsid w:val="00AC33F9"/>
    <w:rsid w:val="00AC3408"/>
    <w:rsid w:val="00AC34A9"/>
    <w:rsid w:val="00AC3714"/>
    <w:rsid w:val="00AC3C8C"/>
    <w:rsid w:val="00AC3EF6"/>
    <w:rsid w:val="00AC3F36"/>
    <w:rsid w:val="00AC4064"/>
    <w:rsid w:val="00AC40D3"/>
    <w:rsid w:val="00AC41FF"/>
    <w:rsid w:val="00AC421B"/>
    <w:rsid w:val="00AC4290"/>
    <w:rsid w:val="00AC4295"/>
    <w:rsid w:val="00AC462A"/>
    <w:rsid w:val="00AC4798"/>
    <w:rsid w:val="00AC4813"/>
    <w:rsid w:val="00AC4888"/>
    <w:rsid w:val="00AC48D4"/>
    <w:rsid w:val="00AC4993"/>
    <w:rsid w:val="00AC5202"/>
    <w:rsid w:val="00AC529F"/>
    <w:rsid w:val="00AC55F6"/>
    <w:rsid w:val="00AC5632"/>
    <w:rsid w:val="00AC597B"/>
    <w:rsid w:val="00AC5A0D"/>
    <w:rsid w:val="00AC5BFD"/>
    <w:rsid w:val="00AC5CCF"/>
    <w:rsid w:val="00AC5D69"/>
    <w:rsid w:val="00AC60AE"/>
    <w:rsid w:val="00AC60B3"/>
    <w:rsid w:val="00AC61B8"/>
    <w:rsid w:val="00AC6671"/>
    <w:rsid w:val="00AC6844"/>
    <w:rsid w:val="00AC68F7"/>
    <w:rsid w:val="00AC6926"/>
    <w:rsid w:val="00AC6A01"/>
    <w:rsid w:val="00AC6F04"/>
    <w:rsid w:val="00AC7036"/>
    <w:rsid w:val="00AC7310"/>
    <w:rsid w:val="00AC74D6"/>
    <w:rsid w:val="00AC7783"/>
    <w:rsid w:val="00AC77B8"/>
    <w:rsid w:val="00AC78E5"/>
    <w:rsid w:val="00AC7964"/>
    <w:rsid w:val="00AC7B44"/>
    <w:rsid w:val="00AC7C85"/>
    <w:rsid w:val="00AC7E44"/>
    <w:rsid w:val="00AC7F54"/>
    <w:rsid w:val="00AD00EE"/>
    <w:rsid w:val="00AD0155"/>
    <w:rsid w:val="00AD024A"/>
    <w:rsid w:val="00AD0319"/>
    <w:rsid w:val="00AD032E"/>
    <w:rsid w:val="00AD03FA"/>
    <w:rsid w:val="00AD0577"/>
    <w:rsid w:val="00AD0733"/>
    <w:rsid w:val="00AD07F2"/>
    <w:rsid w:val="00AD0B23"/>
    <w:rsid w:val="00AD0CED"/>
    <w:rsid w:val="00AD0E4F"/>
    <w:rsid w:val="00AD0E8B"/>
    <w:rsid w:val="00AD0ED2"/>
    <w:rsid w:val="00AD104F"/>
    <w:rsid w:val="00AD1112"/>
    <w:rsid w:val="00AD113E"/>
    <w:rsid w:val="00AD11D1"/>
    <w:rsid w:val="00AD139E"/>
    <w:rsid w:val="00AD1552"/>
    <w:rsid w:val="00AD1712"/>
    <w:rsid w:val="00AD17CB"/>
    <w:rsid w:val="00AD185A"/>
    <w:rsid w:val="00AD1A6A"/>
    <w:rsid w:val="00AD1AA9"/>
    <w:rsid w:val="00AD1F7D"/>
    <w:rsid w:val="00AD1FF2"/>
    <w:rsid w:val="00AD222D"/>
    <w:rsid w:val="00AD2244"/>
    <w:rsid w:val="00AD238A"/>
    <w:rsid w:val="00AD2447"/>
    <w:rsid w:val="00AD249E"/>
    <w:rsid w:val="00AD27F6"/>
    <w:rsid w:val="00AD296D"/>
    <w:rsid w:val="00AD2D93"/>
    <w:rsid w:val="00AD304B"/>
    <w:rsid w:val="00AD308F"/>
    <w:rsid w:val="00AD31A0"/>
    <w:rsid w:val="00AD320C"/>
    <w:rsid w:val="00AD32C4"/>
    <w:rsid w:val="00AD3421"/>
    <w:rsid w:val="00AD3489"/>
    <w:rsid w:val="00AD349B"/>
    <w:rsid w:val="00AD356E"/>
    <w:rsid w:val="00AD37BE"/>
    <w:rsid w:val="00AD3804"/>
    <w:rsid w:val="00AD3946"/>
    <w:rsid w:val="00AD3A5E"/>
    <w:rsid w:val="00AD3AF2"/>
    <w:rsid w:val="00AD3B23"/>
    <w:rsid w:val="00AD3BCE"/>
    <w:rsid w:val="00AD3CA8"/>
    <w:rsid w:val="00AD3E1D"/>
    <w:rsid w:val="00AD3EF8"/>
    <w:rsid w:val="00AD4194"/>
    <w:rsid w:val="00AD42A7"/>
    <w:rsid w:val="00AD431F"/>
    <w:rsid w:val="00AD46A7"/>
    <w:rsid w:val="00AD47FB"/>
    <w:rsid w:val="00AD4937"/>
    <w:rsid w:val="00AD496A"/>
    <w:rsid w:val="00AD4A02"/>
    <w:rsid w:val="00AD4E10"/>
    <w:rsid w:val="00AD5336"/>
    <w:rsid w:val="00AD552F"/>
    <w:rsid w:val="00AD5546"/>
    <w:rsid w:val="00AD5573"/>
    <w:rsid w:val="00AD5774"/>
    <w:rsid w:val="00AD57B6"/>
    <w:rsid w:val="00AD594E"/>
    <w:rsid w:val="00AD5A2D"/>
    <w:rsid w:val="00AD5AA6"/>
    <w:rsid w:val="00AD5C76"/>
    <w:rsid w:val="00AD5CBE"/>
    <w:rsid w:val="00AD5E54"/>
    <w:rsid w:val="00AD5F9E"/>
    <w:rsid w:val="00AD627A"/>
    <w:rsid w:val="00AD63F2"/>
    <w:rsid w:val="00AD6710"/>
    <w:rsid w:val="00AD6BB2"/>
    <w:rsid w:val="00AD6D37"/>
    <w:rsid w:val="00AD6EA0"/>
    <w:rsid w:val="00AD7254"/>
    <w:rsid w:val="00AD729B"/>
    <w:rsid w:val="00AD729E"/>
    <w:rsid w:val="00AD72CD"/>
    <w:rsid w:val="00AD7336"/>
    <w:rsid w:val="00AD74E2"/>
    <w:rsid w:val="00AD762C"/>
    <w:rsid w:val="00AD764A"/>
    <w:rsid w:val="00AD7968"/>
    <w:rsid w:val="00AD7BB5"/>
    <w:rsid w:val="00AD7D3B"/>
    <w:rsid w:val="00AD7D8F"/>
    <w:rsid w:val="00AE0039"/>
    <w:rsid w:val="00AE0051"/>
    <w:rsid w:val="00AE00AF"/>
    <w:rsid w:val="00AE00F0"/>
    <w:rsid w:val="00AE0148"/>
    <w:rsid w:val="00AE08A6"/>
    <w:rsid w:val="00AE09B2"/>
    <w:rsid w:val="00AE0AEB"/>
    <w:rsid w:val="00AE0B27"/>
    <w:rsid w:val="00AE0C70"/>
    <w:rsid w:val="00AE0E74"/>
    <w:rsid w:val="00AE0F1F"/>
    <w:rsid w:val="00AE0F35"/>
    <w:rsid w:val="00AE0FD2"/>
    <w:rsid w:val="00AE113F"/>
    <w:rsid w:val="00AE152D"/>
    <w:rsid w:val="00AE1629"/>
    <w:rsid w:val="00AE16C6"/>
    <w:rsid w:val="00AE1865"/>
    <w:rsid w:val="00AE1953"/>
    <w:rsid w:val="00AE19D7"/>
    <w:rsid w:val="00AE1A49"/>
    <w:rsid w:val="00AE1A67"/>
    <w:rsid w:val="00AE1C66"/>
    <w:rsid w:val="00AE1D9E"/>
    <w:rsid w:val="00AE1F01"/>
    <w:rsid w:val="00AE1F92"/>
    <w:rsid w:val="00AE215B"/>
    <w:rsid w:val="00AE24A4"/>
    <w:rsid w:val="00AE24D8"/>
    <w:rsid w:val="00AE252D"/>
    <w:rsid w:val="00AE2685"/>
    <w:rsid w:val="00AE26A3"/>
    <w:rsid w:val="00AE2771"/>
    <w:rsid w:val="00AE3059"/>
    <w:rsid w:val="00AE3096"/>
    <w:rsid w:val="00AE3206"/>
    <w:rsid w:val="00AE32A2"/>
    <w:rsid w:val="00AE3377"/>
    <w:rsid w:val="00AE33F1"/>
    <w:rsid w:val="00AE340F"/>
    <w:rsid w:val="00AE344C"/>
    <w:rsid w:val="00AE3485"/>
    <w:rsid w:val="00AE35F3"/>
    <w:rsid w:val="00AE3678"/>
    <w:rsid w:val="00AE3702"/>
    <w:rsid w:val="00AE3A0E"/>
    <w:rsid w:val="00AE3A55"/>
    <w:rsid w:val="00AE3C69"/>
    <w:rsid w:val="00AE3D53"/>
    <w:rsid w:val="00AE3D79"/>
    <w:rsid w:val="00AE3DEC"/>
    <w:rsid w:val="00AE3DF2"/>
    <w:rsid w:val="00AE3E04"/>
    <w:rsid w:val="00AE3ED1"/>
    <w:rsid w:val="00AE3F32"/>
    <w:rsid w:val="00AE40FC"/>
    <w:rsid w:val="00AE41A7"/>
    <w:rsid w:val="00AE4210"/>
    <w:rsid w:val="00AE43EE"/>
    <w:rsid w:val="00AE45B1"/>
    <w:rsid w:val="00AE49A5"/>
    <w:rsid w:val="00AE4A77"/>
    <w:rsid w:val="00AE4B45"/>
    <w:rsid w:val="00AE4B86"/>
    <w:rsid w:val="00AE4C59"/>
    <w:rsid w:val="00AE5176"/>
    <w:rsid w:val="00AE55EF"/>
    <w:rsid w:val="00AE561C"/>
    <w:rsid w:val="00AE56B7"/>
    <w:rsid w:val="00AE5793"/>
    <w:rsid w:val="00AE5C80"/>
    <w:rsid w:val="00AE5F34"/>
    <w:rsid w:val="00AE5FA7"/>
    <w:rsid w:val="00AE6018"/>
    <w:rsid w:val="00AE60AF"/>
    <w:rsid w:val="00AE61B5"/>
    <w:rsid w:val="00AE6265"/>
    <w:rsid w:val="00AE6524"/>
    <w:rsid w:val="00AE67BF"/>
    <w:rsid w:val="00AE6A03"/>
    <w:rsid w:val="00AE6C62"/>
    <w:rsid w:val="00AE6C7B"/>
    <w:rsid w:val="00AE6D14"/>
    <w:rsid w:val="00AE6F32"/>
    <w:rsid w:val="00AE7130"/>
    <w:rsid w:val="00AE7802"/>
    <w:rsid w:val="00AE7A5F"/>
    <w:rsid w:val="00AE7B13"/>
    <w:rsid w:val="00AE7B20"/>
    <w:rsid w:val="00AE7B7E"/>
    <w:rsid w:val="00AE7D69"/>
    <w:rsid w:val="00AE7DA6"/>
    <w:rsid w:val="00AE7DBE"/>
    <w:rsid w:val="00AE7E12"/>
    <w:rsid w:val="00AE7E44"/>
    <w:rsid w:val="00AE7E51"/>
    <w:rsid w:val="00AE7ECE"/>
    <w:rsid w:val="00AE7FD7"/>
    <w:rsid w:val="00AE7FFC"/>
    <w:rsid w:val="00AF000C"/>
    <w:rsid w:val="00AF00E2"/>
    <w:rsid w:val="00AF0268"/>
    <w:rsid w:val="00AF0453"/>
    <w:rsid w:val="00AF050B"/>
    <w:rsid w:val="00AF05C3"/>
    <w:rsid w:val="00AF05D1"/>
    <w:rsid w:val="00AF0D73"/>
    <w:rsid w:val="00AF0DD7"/>
    <w:rsid w:val="00AF0EB9"/>
    <w:rsid w:val="00AF0F15"/>
    <w:rsid w:val="00AF0F16"/>
    <w:rsid w:val="00AF128C"/>
    <w:rsid w:val="00AF13A1"/>
    <w:rsid w:val="00AF17DF"/>
    <w:rsid w:val="00AF181D"/>
    <w:rsid w:val="00AF1885"/>
    <w:rsid w:val="00AF1968"/>
    <w:rsid w:val="00AF19DF"/>
    <w:rsid w:val="00AF1B25"/>
    <w:rsid w:val="00AF1B73"/>
    <w:rsid w:val="00AF1ED8"/>
    <w:rsid w:val="00AF1EEC"/>
    <w:rsid w:val="00AF2198"/>
    <w:rsid w:val="00AF27A5"/>
    <w:rsid w:val="00AF27DE"/>
    <w:rsid w:val="00AF288B"/>
    <w:rsid w:val="00AF2A84"/>
    <w:rsid w:val="00AF2C9D"/>
    <w:rsid w:val="00AF2DAE"/>
    <w:rsid w:val="00AF30E2"/>
    <w:rsid w:val="00AF3167"/>
    <w:rsid w:val="00AF3367"/>
    <w:rsid w:val="00AF3543"/>
    <w:rsid w:val="00AF3715"/>
    <w:rsid w:val="00AF3768"/>
    <w:rsid w:val="00AF37DE"/>
    <w:rsid w:val="00AF3867"/>
    <w:rsid w:val="00AF3A7C"/>
    <w:rsid w:val="00AF3BC5"/>
    <w:rsid w:val="00AF3BCC"/>
    <w:rsid w:val="00AF3EF6"/>
    <w:rsid w:val="00AF436B"/>
    <w:rsid w:val="00AF4438"/>
    <w:rsid w:val="00AF4501"/>
    <w:rsid w:val="00AF4709"/>
    <w:rsid w:val="00AF47B2"/>
    <w:rsid w:val="00AF4866"/>
    <w:rsid w:val="00AF488A"/>
    <w:rsid w:val="00AF4B9B"/>
    <w:rsid w:val="00AF4BF7"/>
    <w:rsid w:val="00AF4C10"/>
    <w:rsid w:val="00AF4DB9"/>
    <w:rsid w:val="00AF4E03"/>
    <w:rsid w:val="00AF4E22"/>
    <w:rsid w:val="00AF514B"/>
    <w:rsid w:val="00AF51D5"/>
    <w:rsid w:val="00AF52FB"/>
    <w:rsid w:val="00AF560A"/>
    <w:rsid w:val="00AF57DD"/>
    <w:rsid w:val="00AF59C4"/>
    <w:rsid w:val="00AF5E36"/>
    <w:rsid w:val="00AF6184"/>
    <w:rsid w:val="00AF6356"/>
    <w:rsid w:val="00AF63A2"/>
    <w:rsid w:val="00AF63BB"/>
    <w:rsid w:val="00AF6463"/>
    <w:rsid w:val="00AF6796"/>
    <w:rsid w:val="00AF71B8"/>
    <w:rsid w:val="00AF742A"/>
    <w:rsid w:val="00AF7689"/>
    <w:rsid w:val="00AF76DB"/>
    <w:rsid w:val="00AF7869"/>
    <w:rsid w:val="00AF7A84"/>
    <w:rsid w:val="00AF7A98"/>
    <w:rsid w:val="00AF7CB8"/>
    <w:rsid w:val="00AF7D84"/>
    <w:rsid w:val="00AF7EB9"/>
    <w:rsid w:val="00AF7F02"/>
    <w:rsid w:val="00AF7F2E"/>
    <w:rsid w:val="00B00311"/>
    <w:rsid w:val="00B0035D"/>
    <w:rsid w:val="00B003BB"/>
    <w:rsid w:val="00B00496"/>
    <w:rsid w:val="00B00574"/>
    <w:rsid w:val="00B00730"/>
    <w:rsid w:val="00B00AAA"/>
    <w:rsid w:val="00B0108B"/>
    <w:rsid w:val="00B011E9"/>
    <w:rsid w:val="00B01282"/>
    <w:rsid w:val="00B01287"/>
    <w:rsid w:val="00B0155B"/>
    <w:rsid w:val="00B01630"/>
    <w:rsid w:val="00B0165F"/>
    <w:rsid w:val="00B016EF"/>
    <w:rsid w:val="00B01838"/>
    <w:rsid w:val="00B01A14"/>
    <w:rsid w:val="00B01A25"/>
    <w:rsid w:val="00B01C07"/>
    <w:rsid w:val="00B01C4D"/>
    <w:rsid w:val="00B01CDE"/>
    <w:rsid w:val="00B01D69"/>
    <w:rsid w:val="00B01DC9"/>
    <w:rsid w:val="00B02127"/>
    <w:rsid w:val="00B02139"/>
    <w:rsid w:val="00B0217B"/>
    <w:rsid w:val="00B021EF"/>
    <w:rsid w:val="00B02614"/>
    <w:rsid w:val="00B02978"/>
    <w:rsid w:val="00B02B0E"/>
    <w:rsid w:val="00B02C53"/>
    <w:rsid w:val="00B02C57"/>
    <w:rsid w:val="00B02C8D"/>
    <w:rsid w:val="00B02CAF"/>
    <w:rsid w:val="00B02DB0"/>
    <w:rsid w:val="00B031A4"/>
    <w:rsid w:val="00B031F9"/>
    <w:rsid w:val="00B0340E"/>
    <w:rsid w:val="00B036E3"/>
    <w:rsid w:val="00B037A1"/>
    <w:rsid w:val="00B037C7"/>
    <w:rsid w:val="00B03A17"/>
    <w:rsid w:val="00B03DAE"/>
    <w:rsid w:val="00B03DD9"/>
    <w:rsid w:val="00B03F94"/>
    <w:rsid w:val="00B04026"/>
    <w:rsid w:val="00B040A8"/>
    <w:rsid w:val="00B0412B"/>
    <w:rsid w:val="00B043A6"/>
    <w:rsid w:val="00B047CE"/>
    <w:rsid w:val="00B049AF"/>
    <w:rsid w:val="00B04B0F"/>
    <w:rsid w:val="00B04BD8"/>
    <w:rsid w:val="00B04BD9"/>
    <w:rsid w:val="00B0526B"/>
    <w:rsid w:val="00B05341"/>
    <w:rsid w:val="00B05513"/>
    <w:rsid w:val="00B0558D"/>
    <w:rsid w:val="00B0567D"/>
    <w:rsid w:val="00B05A2C"/>
    <w:rsid w:val="00B05F39"/>
    <w:rsid w:val="00B06025"/>
    <w:rsid w:val="00B060E3"/>
    <w:rsid w:val="00B065DD"/>
    <w:rsid w:val="00B065F3"/>
    <w:rsid w:val="00B06774"/>
    <w:rsid w:val="00B0681E"/>
    <w:rsid w:val="00B06BC9"/>
    <w:rsid w:val="00B06C06"/>
    <w:rsid w:val="00B06DED"/>
    <w:rsid w:val="00B06DEE"/>
    <w:rsid w:val="00B06F1F"/>
    <w:rsid w:val="00B06F31"/>
    <w:rsid w:val="00B07309"/>
    <w:rsid w:val="00B0744F"/>
    <w:rsid w:val="00B07497"/>
    <w:rsid w:val="00B07504"/>
    <w:rsid w:val="00B0754C"/>
    <w:rsid w:val="00B0774D"/>
    <w:rsid w:val="00B07875"/>
    <w:rsid w:val="00B07B46"/>
    <w:rsid w:val="00B07C2C"/>
    <w:rsid w:val="00B07D21"/>
    <w:rsid w:val="00B07EBC"/>
    <w:rsid w:val="00B07F88"/>
    <w:rsid w:val="00B07FFA"/>
    <w:rsid w:val="00B07FFE"/>
    <w:rsid w:val="00B10001"/>
    <w:rsid w:val="00B1002C"/>
    <w:rsid w:val="00B1021D"/>
    <w:rsid w:val="00B10341"/>
    <w:rsid w:val="00B107C2"/>
    <w:rsid w:val="00B108E3"/>
    <w:rsid w:val="00B10CA9"/>
    <w:rsid w:val="00B11051"/>
    <w:rsid w:val="00B1135B"/>
    <w:rsid w:val="00B11561"/>
    <w:rsid w:val="00B118D0"/>
    <w:rsid w:val="00B11907"/>
    <w:rsid w:val="00B11971"/>
    <w:rsid w:val="00B11AAF"/>
    <w:rsid w:val="00B11CCB"/>
    <w:rsid w:val="00B11DD0"/>
    <w:rsid w:val="00B126EF"/>
    <w:rsid w:val="00B127BA"/>
    <w:rsid w:val="00B12885"/>
    <w:rsid w:val="00B12EAD"/>
    <w:rsid w:val="00B12F63"/>
    <w:rsid w:val="00B13035"/>
    <w:rsid w:val="00B13257"/>
    <w:rsid w:val="00B1347B"/>
    <w:rsid w:val="00B134CD"/>
    <w:rsid w:val="00B137DE"/>
    <w:rsid w:val="00B137F4"/>
    <w:rsid w:val="00B1381E"/>
    <w:rsid w:val="00B13824"/>
    <w:rsid w:val="00B13A5C"/>
    <w:rsid w:val="00B13B49"/>
    <w:rsid w:val="00B13C3F"/>
    <w:rsid w:val="00B13C59"/>
    <w:rsid w:val="00B13ED2"/>
    <w:rsid w:val="00B13F50"/>
    <w:rsid w:val="00B1405A"/>
    <w:rsid w:val="00B141C7"/>
    <w:rsid w:val="00B1467A"/>
    <w:rsid w:val="00B14760"/>
    <w:rsid w:val="00B14E0C"/>
    <w:rsid w:val="00B152F8"/>
    <w:rsid w:val="00B1534D"/>
    <w:rsid w:val="00B153C4"/>
    <w:rsid w:val="00B154C4"/>
    <w:rsid w:val="00B155D3"/>
    <w:rsid w:val="00B157DC"/>
    <w:rsid w:val="00B15933"/>
    <w:rsid w:val="00B159AE"/>
    <w:rsid w:val="00B159DC"/>
    <w:rsid w:val="00B15ACD"/>
    <w:rsid w:val="00B15B35"/>
    <w:rsid w:val="00B15D09"/>
    <w:rsid w:val="00B15D5D"/>
    <w:rsid w:val="00B15EEB"/>
    <w:rsid w:val="00B160D5"/>
    <w:rsid w:val="00B160DD"/>
    <w:rsid w:val="00B161BD"/>
    <w:rsid w:val="00B1639B"/>
    <w:rsid w:val="00B1651B"/>
    <w:rsid w:val="00B1678D"/>
    <w:rsid w:val="00B16823"/>
    <w:rsid w:val="00B16BC8"/>
    <w:rsid w:val="00B16D51"/>
    <w:rsid w:val="00B16ED0"/>
    <w:rsid w:val="00B16FFC"/>
    <w:rsid w:val="00B1708D"/>
    <w:rsid w:val="00B17195"/>
    <w:rsid w:val="00B17375"/>
    <w:rsid w:val="00B17571"/>
    <w:rsid w:val="00B17716"/>
    <w:rsid w:val="00B178B6"/>
    <w:rsid w:val="00B179E6"/>
    <w:rsid w:val="00B17B06"/>
    <w:rsid w:val="00B17B55"/>
    <w:rsid w:val="00B17BA2"/>
    <w:rsid w:val="00B17CBB"/>
    <w:rsid w:val="00B17FD9"/>
    <w:rsid w:val="00B20103"/>
    <w:rsid w:val="00B201BD"/>
    <w:rsid w:val="00B2066F"/>
    <w:rsid w:val="00B20675"/>
    <w:rsid w:val="00B20705"/>
    <w:rsid w:val="00B20982"/>
    <w:rsid w:val="00B20ABA"/>
    <w:rsid w:val="00B20ACB"/>
    <w:rsid w:val="00B20BF3"/>
    <w:rsid w:val="00B20F29"/>
    <w:rsid w:val="00B2108D"/>
    <w:rsid w:val="00B21237"/>
    <w:rsid w:val="00B21493"/>
    <w:rsid w:val="00B21498"/>
    <w:rsid w:val="00B2164E"/>
    <w:rsid w:val="00B21849"/>
    <w:rsid w:val="00B218AE"/>
    <w:rsid w:val="00B2192D"/>
    <w:rsid w:val="00B2196A"/>
    <w:rsid w:val="00B21B0E"/>
    <w:rsid w:val="00B21CCC"/>
    <w:rsid w:val="00B21CE6"/>
    <w:rsid w:val="00B21DAA"/>
    <w:rsid w:val="00B21FEE"/>
    <w:rsid w:val="00B221EC"/>
    <w:rsid w:val="00B2254A"/>
    <w:rsid w:val="00B226FD"/>
    <w:rsid w:val="00B227DF"/>
    <w:rsid w:val="00B22C8F"/>
    <w:rsid w:val="00B22D9C"/>
    <w:rsid w:val="00B23014"/>
    <w:rsid w:val="00B230C3"/>
    <w:rsid w:val="00B230F2"/>
    <w:rsid w:val="00B23186"/>
    <w:rsid w:val="00B232D8"/>
    <w:rsid w:val="00B233A8"/>
    <w:rsid w:val="00B233BA"/>
    <w:rsid w:val="00B23483"/>
    <w:rsid w:val="00B235B6"/>
    <w:rsid w:val="00B23738"/>
    <w:rsid w:val="00B238D2"/>
    <w:rsid w:val="00B239C9"/>
    <w:rsid w:val="00B23A31"/>
    <w:rsid w:val="00B23AB6"/>
    <w:rsid w:val="00B23BFC"/>
    <w:rsid w:val="00B23CBE"/>
    <w:rsid w:val="00B2446B"/>
    <w:rsid w:val="00B245B1"/>
    <w:rsid w:val="00B245BA"/>
    <w:rsid w:val="00B245D9"/>
    <w:rsid w:val="00B24A71"/>
    <w:rsid w:val="00B24ABC"/>
    <w:rsid w:val="00B24D09"/>
    <w:rsid w:val="00B24DFF"/>
    <w:rsid w:val="00B2538D"/>
    <w:rsid w:val="00B25398"/>
    <w:rsid w:val="00B2561E"/>
    <w:rsid w:val="00B25770"/>
    <w:rsid w:val="00B25924"/>
    <w:rsid w:val="00B25AA2"/>
    <w:rsid w:val="00B25B52"/>
    <w:rsid w:val="00B26002"/>
    <w:rsid w:val="00B26078"/>
    <w:rsid w:val="00B260E6"/>
    <w:rsid w:val="00B26172"/>
    <w:rsid w:val="00B261B1"/>
    <w:rsid w:val="00B26632"/>
    <w:rsid w:val="00B26A5F"/>
    <w:rsid w:val="00B26A69"/>
    <w:rsid w:val="00B26AA2"/>
    <w:rsid w:val="00B26B8E"/>
    <w:rsid w:val="00B26C25"/>
    <w:rsid w:val="00B26CB8"/>
    <w:rsid w:val="00B26CE2"/>
    <w:rsid w:val="00B26DCF"/>
    <w:rsid w:val="00B26FC0"/>
    <w:rsid w:val="00B270D4"/>
    <w:rsid w:val="00B270E4"/>
    <w:rsid w:val="00B27413"/>
    <w:rsid w:val="00B27426"/>
    <w:rsid w:val="00B274CB"/>
    <w:rsid w:val="00B2786A"/>
    <w:rsid w:val="00B278C9"/>
    <w:rsid w:val="00B27924"/>
    <w:rsid w:val="00B27AC5"/>
    <w:rsid w:val="00B27F25"/>
    <w:rsid w:val="00B27FEC"/>
    <w:rsid w:val="00B30120"/>
    <w:rsid w:val="00B3032A"/>
    <w:rsid w:val="00B304E9"/>
    <w:rsid w:val="00B30844"/>
    <w:rsid w:val="00B30C51"/>
    <w:rsid w:val="00B30D86"/>
    <w:rsid w:val="00B30F6A"/>
    <w:rsid w:val="00B310B3"/>
    <w:rsid w:val="00B3125C"/>
    <w:rsid w:val="00B31289"/>
    <w:rsid w:val="00B31530"/>
    <w:rsid w:val="00B318DC"/>
    <w:rsid w:val="00B31955"/>
    <w:rsid w:val="00B31A3E"/>
    <w:rsid w:val="00B31BA3"/>
    <w:rsid w:val="00B32112"/>
    <w:rsid w:val="00B323DA"/>
    <w:rsid w:val="00B324D0"/>
    <w:rsid w:val="00B3253D"/>
    <w:rsid w:val="00B325BD"/>
    <w:rsid w:val="00B32627"/>
    <w:rsid w:val="00B3291D"/>
    <w:rsid w:val="00B32A68"/>
    <w:rsid w:val="00B32E9C"/>
    <w:rsid w:val="00B331C9"/>
    <w:rsid w:val="00B33360"/>
    <w:rsid w:val="00B33484"/>
    <w:rsid w:val="00B335DE"/>
    <w:rsid w:val="00B3366F"/>
    <w:rsid w:val="00B336A7"/>
    <w:rsid w:val="00B336B0"/>
    <w:rsid w:val="00B33745"/>
    <w:rsid w:val="00B33919"/>
    <w:rsid w:val="00B33DA0"/>
    <w:rsid w:val="00B3418D"/>
    <w:rsid w:val="00B341B8"/>
    <w:rsid w:val="00B342CF"/>
    <w:rsid w:val="00B3443D"/>
    <w:rsid w:val="00B34701"/>
    <w:rsid w:val="00B34804"/>
    <w:rsid w:val="00B3495C"/>
    <w:rsid w:val="00B34BFC"/>
    <w:rsid w:val="00B34CF7"/>
    <w:rsid w:val="00B34E22"/>
    <w:rsid w:val="00B34E67"/>
    <w:rsid w:val="00B34EB8"/>
    <w:rsid w:val="00B34EBA"/>
    <w:rsid w:val="00B34EEF"/>
    <w:rsid w:val="00B34F4C"/>
    <w:rsid w:val="00B35018"/>
    <w:rsid w:val="00B3527E"/>
    <w:rsid w:val="00B354F5"/>
    <w:rsid w:val="00B35612"/>
    <w:rsid w:val="00B3574F"/>
    <w:rsid w:val="00B35905"/>
    <w:rsid w:val="00B35A9F"/>
    <w:rsid w:val="00B35B5D"/>
    <w:rsid w:val="00B35FED"/>
    <w:rsid w:val="00B360C0"/>
    <w:rsid w:val="00B3620C"/>
    <w:rsid w:val="00B36290"/>
    <w:rsid w:val="00B366E3"/>
    <w:rsid w:val="00B36C38"/>
    <w:rsid w:val="00B36CC5"/>
    <w:rsid w:val="00B36D3B"/>
    <w:rsid w:val="00B36D48"/>
    <w:rsid w:val="00B37028"/>
    <w:rsid w:val="00B3728B"/>
    <w:rsid w:val="00B373B6"/>
    <w:rsid w:val="00B379A4"/>
    <w:rsid w:val="00B37BAC"/>
    <w:rsid w:val="00B37C1F"/>
    <w:rsid w:val="00B37C91"/>
    <w:rsid w:val="00B37E06"/>
    <w:rsid w:val="00B37EA1"/>
    <w:rsid w:val="00B37F0E"/>
    <w:rsid w:val="00B400D6"/>
    <w:rsid w:val="00B40222"/>
    <w:rsid w:val="00B402AC"/>
    <w:rsid w:val="00B403FD"/>
    <w:rsid w:val="00B406BF"/>
    <w:rsid w:val="00B406FA"/>
    <w:rsid w:val="00B40859"/>
    <w:rsid w:val="00B409C6"/>
    <w:rsid w:val="00B409FB"/>
    <w:rsid w:val="00B40AE0"/>
    <w:rsid w:val="00B40EA9"/>
    <w:rsid w:val="00B40FB8"/>
    <w:rsid w:val="00B41504"/>
    <w:rsid w:val="00B41540"/>
    <w:rsid w:val="00B416E3"/>
    <w:rsid w:val="00B41780"/>
    <w:rsid w:val="00B41948"/>
    <w:rsid w:val="00B419FE"/>
    <w:rsid w:val="00B41D0D"/>
    <w:rsid w:val="00B4202D"/>
    <w:rsid w:val="00B42230"/>
    <w:rsid w:val="00B4276C"/>
    <w:rsid w:val="00B427AA"/>
    <w:rsid w:val="00B42874"/>
    <w:rsid w:val="00B42905"/>
    <w:rsid w:val="00B42910"/>
    <w:rsid w:val="00B429A6"/>
    <w:rsid w:val="00B429D5"/>
    <w:rsid w:val="00B42C90"/>
    <w:rsid w:val="00B430A8"/>
    <w:rsid w:val="00B431F9"/>
    <w:rsid w:val="00B43268"/>
    <w:rsid w:val="00B4331F"/>
    <w:rsid w:val="00B43423"/>
    <w:rsid w:val="00B435BC"/>
    <w:rsid w:val="00B435D5"/>
    <w:rsid w:val="00B435F2"/>
    <w:rsid w:val="00B4372B"/>
    <w:rsid w:val="00B43A35"/>
    <w:rsid w:val="00B43ABD"/>
    <w:rsid w:val="00B43CB7"/>
    <w:rsid w:val="00B43FD6"/>
    <w:rsid w:val="00B441A1"/>
    <w:rsid w:val="00B4420A"/>
    <w:rsid w:val="00B44265"/>
    <w:rsid w:val="00B4429A"/>
    <w:rsid w:val="00B442B0"/>
    <w:rsid w:val="00B4434F"/>
    <w:rsid w:val="00B44364"/>
    <w:rsid w:val="00B44483"/>
    <w:rsid w:val="00B445E1"/>
    <w:rsid w:val="00B445E5"/>
    <w:rsid w:val="00B44607"/>
    <w:rsid w:val="00B4460A"/>
    <w:rsid w:val="00B44656"/>
    <w:rsid w:val="00B44738"/>
    <w:rsid w:val="00B44808"/>
    <w:rsid w:val="00B44C5D"/>
    <w:rsid w:val="00B44D1A"/>
    <w:rsid w:val="00B44E2E"/>
    <w:rsid w:val="00B451E1"/>
    <w:rsid w:val="00B453B0"/>
    <w:rsid w:val="00B4542D"/>
    <w:rsid w:val="00B45500"/>
    <w:rsid w:val="00B45532"/>
    <w:rsid w:val="00B455FF"/>
    <w:rsid w:val="00B4576E"/>
    <w:rsid w:val="00B4577A"/>
    <w:rsid w:val="00B45A03"/>
    <w:rsid w:val="00B45CF6"/>
    <w:rsid w:val="00B45D70"/>
    <w:rsid w:val="00B45F81"/>
    <w:rsid w:val="00B4614D"/>
    <w:rsid w:val="00B46324"/>
    <w:rsid w:val="00B463BE"/>
    <w:rsid w:val="00B464A3"/>
    <w:rsid w:val="00B464E7"/>
    <w:rsid w:val="00B465A9"/>
    <w:rsid w:val="00B4679C"/>
    <w:rsid w:val="00B467F7"/>
    <w:rsid w:val="00B469EB"/>
    <w:rsid w:val="00B46B68"/>
    <w:rsid w:val="00B46B77"/>
    <w:rsid w:val="00B46DAF"/>
    <w:rsid w:val="00B46E36"/>
    <w:rsid w:val="00B46F36"/>
    <w:rsid w:val="00B46F71"/>
    <w:rsid w:val="00B4719F"/>
    <w:rsid w:val="00B471E1"/>
    <w:rsid w:val="00B472BE"/>
    <w:rsid w:val="00B4759B"/>
    <w:rsid w:val="00B476A6"/>
    <w:rsid w:val="00B47757"/>
    <w:rsid w:val="00B47774"/>
    <w:rsid w:val="00B477F7"/>
    <w:rsid w:val="00B4782E"/>
    <w:rsid w:val="00B47835"/>
    <w:rsid w:val="00B479BA"/>
    <w:rsid w:val="00B47B15"/>
    <w:rsid w:val="00B47C02"/>
    <w:rsid w:val="00B47CF5"/>
    <w:rsid w:val="00B47E10"/>
    <w:rsid w:val="00B47FC9"/>
    <w:rsid w:val="00B5018E"/>
    <w:rsid w:val="00B50210"/>
    <w:rsid w:val="00B50313"/>
    <w:rsid w:val="00B5048B"/>
    <w:rsid w:val="00B504F3"/>
    <w:rsid w:val="00B50547"/>
    <w:rsid w:val="00B5059C"/>
    <w:rsid w:val="00B506A3"/>
    <w:rsid w:val="00B5074C"/>
    <w:rsid w:val="00B5081F"/>
    <w:rsid w:val="00B50C52"/>
    <w:rsid w:val="00B50CC5"/>
    <w:rsid w:val="00B50DD2"/>
    <w:rsid w:val="00B50E45"/>
    <w:rsid w:val="00B50FA6"/>
    <w:rsid w:val="00B510E3"/>
    <w:rsid w:val="00B51164"/>
    <w:rsid w:val="00B51407"/>
    <w:rsid w:val="00B5149A"/>
    <w:rsid w:val="00B514CE"/>
    <w:rsid w:val="00B51705"/>
    <w:rsid w:val="00B5195E"/>
    <w:rsid w:val="00B51C50"/>
    <w:rsid w:val="00B51EE2"/>
    <w:rsid w:val="00B51F38"/>
    <w:rsid w:val="00B52661"/>
    <w:rsid w:val="00B526D5"/>
    <w:rsid w:val="00B52728"/>
    <w:rsid w:val="00B52803"/>
    <w:rsid w:val="00B52817"/>
    <w:rsid w:val="00B52982"/>
    <w:rsid w:val="00B52ABC"/>
    <w:rsid w:val="00B52AF5"/>
    <w:rsid w:val="00B52C7E"/>
    <w:rsid w:val="00B52CDA"/>
    <w:rsid w:val="00B52EAF"/>
    <w:rsid w:val="00B530AE"/>
    <w:rsid w:val="00B531A1"/>
    <w:rsid w:val="00B53608"/>
    <w:rsid w:val="00B536AF"/>
    <w:rsid w:val="00B53755"/>
    <w:rsid w:val="00B53770"/>
    <w:rsid w:val="00B537C7"/>
    <w:rsid w:val="00B537DB"/>
    <w:rsid w:val="00B53832"/>
    <w:rsid w:val="00B53C68"/>
    <w:rsid w:val="00B53CB1"/>
    <w:rsid w:val="00B53D15"/>
    <w:rsid w:val="00B5425E"/>
    <w:rsid w:val="00B542E5"/>
    <w:rsid w:val="00B54433"/>
    <w:rsid w:val="00B5448C"/>
    <w:rsid w:val="00B546E1"/>
    <w:rsid w:val="00B548A3"/>
    <w:rsid w:val="00B54BFC"/>
    <w:rsid w:val="00B54D5F"/>
    <w:rsid w:val="00B54F7E"/>
    <w:rsid w:val="00B553C4"/>
    <w:rsid w:val="00B55A82"/>
    <w:rsid w:val="00B55D36"/>
    <w:rsid w:val="00B55D92"/>
    <w:rsid w:val="00B55E5A"/>
    <w:rsid w:val="00B55ED7"/>
    <w:rsid w:val="00B56312"/>
    <w:rsid w:val="00B56471"/>
    <w:rsid w:val="00B56641"/>
    <w:rsid w:val="00B56B0A"/>
    <w:rsid w:val="00B56C38"/>
    <w:rsid w:val="00B56FAF"/>
    <w:rsid w:val="00B570A3"/>
    <w:rsid w:val="00B57681"/>
    <w:rsid w:val="00B57798"/>
    <w:rsid w:val="00B577B6"/>
    <w:rsid w:val="00B57874"/>
    <w:rsid w:val="00B57895"/>
    <w:rsid w:val="00B57A99"/>
    <w:rsid w:val="00B57C59"/>
    <w:rsid w:val="00B57CBD"/>
    <w:rsid w:val="00B57FF4"/>
    <w:rsid w:val="00B6043F"/>
    <w:rsid w:val="00B60553"/>
    <w:rsid w:val="00B605F8"/>
    <w:rsid w:val="00B606F1"/>
    <w:rsid w:val="00B606FF"/>
    <w:rsid w:val="00B607F7"/>
    <w:rsid w:val="00B60AC9"/>
    <w:rsid w:val="00B60D38"/>
    <w:rsid w:val="00B60DFB"/>
    <w:rsid w:val="00B6137C"/>
    <w:rsid w:val="00B614AA"/>
    <w:rsid w:val="00B614CF"/>
    <w:rsid w:val="00B61580"/>
    <w:rsid w:val="00B61645"/>
    <w:rsid w:val="00B618C7"/>
    <w:rsid w:val="00B61946"/>
    <w:rsid w:val="00B61A46"/>
    <w:rsid w:val="00B61AD7"/>
    <w:rsid w:val="00B61AFD"/>
    <w:rsid w:val="00B61C7E"/>
    <w:rsid w:val="00B61C94"/>
    <w:rsid w:val="00B61CBA"/>
    <w:rsid w:val="00B61D23"/>
    <w:rsid w:val="00B61E4B"/>
    <w:rsid w:val="00B61F09"/>
    <w:rsid w:val="00B62108"/>
    <w:rsid w:val="00B62145"/>
    <w:rsid w:val="00B62192"/>
    <w:rsid w:val="00B6223C"/>
    <w:rsid w:val="00B623B3"/>
    <w:rsid w:val="00B62417"/>
    <w:rsid w:val="00B625CD"/>
    <w:rsid w:val="00B6270E"/>
    <w:rsid w:val="00B6296B"/>
    <w:rsid w:val="00B62FCA"/>
    <w:rsid w:val="00B631EA"/>
    <w:rsid w:val="00B632AA"/>
    <w:rsid w:val="00B632B6"/>
    <w:rsid w:val="00B6333A"/>
    <w:rsid w:val="00B6335C"/>
    <w:rsid w:val="00B634BE"/>
    <w:rsid w:val="00B634F2"/>
    <w:rsid w:val="00B6352B"/>
    <w:rsid w:val="00B63565"/>
    <w:rsid w:val="00B63640"/>
    <w:rsid w:val="00B63642"/>
    <w:rsid w:val="00B637E6"/>
    <w:rsid w:val="00B638B1"/>
    <w:rsid w:val="00B638B9"/>
    <w:rsid w:val="00B63BB5"/>
    <w:rsid w:val="00B63FEF"/>
    <w:rsid w:val="00B64181"/>
    <w:rsid w:val="00B642F9"/>
    <w:rsid w:val="00B64465"/>
    <w:rsid w:val="00B648A1"/>
    <w:rsid w:val="00B648EC"/>
    <w:rsid w:val="00B64977"/>
    <w:rsid w:val="00B649D2"/>
    <w:rsid w:val="00B64B97"/>
    <w:rsid w:val="00B64D89"/>
    <w:rsid w:val="00B64DBC"/>
    <w:rsid w:val="00B64E8C"/>
    <w:rsid w:val="00B64FA5"/>
    <w:rsid w:val="00B650F4"/>
    <w:rsid w:val="00B6535B"/>
    <w:rsid w:val="00B6536A"/>
    <w:rsid w:val="00B65378"/>
    <w:rsid w:val="00B6538E"/>
    <w:rsid w:val="00B655CA"/>
    <w:rsid w:val="00B657B6"/>
    <w:rsid w:val="00B6580C"/>
    <w:rsid w:val="00B658E2"/>
    <w:rsid w:val="00B659FF"/>
    <w:rsid w:val="00B65ABB"/>
    <w:rsid w:val="00B65BC9"/>
    <w:rsid w:val="00B65DC9"/>
    <w:rsid w:val="00B66041"/>
    <w:rsid w:val="00B66112"/>
    <w:rsid w:val="00B666C7"/>
    <w:rsid w:val="00B66769"/>
    <w:rsid w:val="00B667A5"/>
    <w:rsid w:val="00B66D46"/>
    <w:rsid w:val="00B66F55"/>
    <w:rsid w:val="00B67009"/>
    <w:rsid w:val="00B67110"/>
    <w:rsid w:val="00B6711B"/>
    <w:rsid w:val="00B671A0"/>
    <w:rsid w:val="00B6725C"/>
    <w:rsid w:val="00B6728A"/>
    <w:rsid w:val="00B67535"/>
    <w:rsid w:val="00B67678"/>
    <w:rsid w:val="00B6769E"/>
    <w:rsid w:val="00B6789C"/>
    <w:rsid w:val="00B67ABA"/>
    <w:rsid w:val="00B67CA6"/>
    <w:rsid w:val="00B67D20"/>
    <w:rsid w:val="00B67E69"/>
    <w:rsid w:val="00B67F79"/>
    <w:rsid w:val="00B67FEB"/>
    <w:rsid w:val="00B7006B"/>
    <w:rsid w:val="00B70297"/>
    <w:rsid w:val="00B703B7"/>
    <w:rsid w:val="00B704A6"/>
    <w:rsid w:val="00B70616"/>
    <w:rsid w:val="00B70852"/>
    <w:rsid w:val="00B7089A"/>
    <w:rsid w:val="00B708CA"/>
    <w:rsid w:val="00B70AFF"/>
    <w:rsid w:val="00B70C72"/>
    <w:rsid w:val="00B70E1D"/>
    <w:rsid w:val="00B70F46"/>
    <w:rsid w:val="00B710D5"/>
    <w:rsid w:val="00B71196"/>
    <w:rsid w:val="00B712E9"/>
    <w:rsid w:val="00B71B1D"/>
    <w:rsid w:val="00B71FCD"/>
    <w:rsid w:val="00B72076"/>
    <w:rsid w:val="00B72096"/>
    <w:rsid w:val="00B721E5"/>
    <w:rsid w:val="00B722DE"/>
    <w:rsid w:val="00B722EE"/>
    <w:rsid w:val="00B7250A"/>
    <w:rsid w:val="00B7253D"/>
    <w:rsid w:val="00B7286D"/>
    <w:rsid w:val="00B729AD"/>
    <w:rsid w:val="00B72A18"/>
    <w:rsid w:val="00B72B4E"/>
    <w:rsid w:val="00B72BE6"/>
    <w:rsid w:val="00B72BEC"/>
    <w:rsid w:val="00B72D37"/>
    <w:rsid w:val="00B72F52"/>
    <w:rsid w:val="00B72F81"/>
    <w:rsid w:val="00B73167"/>
    <w:rsid w:val="00B73475"/>
    <w:rsid w:val="00B734FC"/>
    <w:rsid w:val="00B736B8"/>
    <w:rsid w:val="00B73881"/>
    <w:rsid w:val="00B73AFF"/>
    <w:rsid w:val="00B73C27"/>
    <w:rsid w:val="00B73C52"/>
    <w:rsid w:val="00B73C97"/>
    <w:rsid w:val="00B73EFF"/>
    <w:rsid w:val="00B7404A"/>
    <w:rsid w:val="00B7404F"/>
    <w:rsid w:val="00B74065"/>
    <w:rsid w:val="00B74259"/>
    <w:rsid w:val="00B74379"/>
    <w:rsid w:val="00B744E7"/>
    <w:rsid w:val="00B7468B"/>
    <w:rsid w:val="00B748C2"/>
    <w:rsid w:val="00B748FB"/>
    <w:rsid w:val="00B74BCD"/>
    <w:rsid w:val="00B75007"/>
    <w:rsid w:val="00B75093"/>
    <w:rsid w:val="00B75349"/>
    <w:rsid w:val="00B75560"/>
    <w:rsid w:val="00B755ED"/>
    <w:rsid w:val="00B755F1"/>
    <w:rsid w:val="00B75671"/>
    <w:rsid w:val="00B7568C"/>
    <w:rsid w:val="00B75997"/>
    <w:rsid w:val="00B75A2A"/>
    <w:rsid w:val="00B75B0B"/>
    <w:rsid w:val="00B75B4D"/>
    <w:rsid w:val="00B75D4D"/>
    <w:rsid w:val="00B75E9F"/>
    <w:rsid w:val="00B75EB2"/>
    <w:rsid w:val="00B75F19"/>
    <w:rsid w:val="00B75F73"/>
    <w:rsid w:val="00B761FF"/>
    <w:rsid w:val="00B7675D"/>
    <w:rsid w:val="00B76992"/>
    <w:rsid w:val="00B76A31"/>
    <w:rsid w:val="00B76A62"/>
    <w:rsid w:val="00B76B5C"/>
    <w:rsid w:val="00B76BAA"/>
    <w:rsid w:val="00B76C3B"/>
    <w:rsid w:val="00B76D95"/>
    <w:rsid w:val="00B77100"/>
    <w:rsid w:val="00B7713E"/>
    <w:rsid w:val="00B7718A"/>
    <w:rsid w:val="00B772B2"/>
    <w:rsid w:val="00B7733B"/>
    <w:rsid w:val="00B77514"/>
    <w:rsid w:val="00B7758E"/>
    <w:rsid w:val="00B77B20"/>
    <w:rsid w:val="00B77BB5"/>
    <w:rsid w:val="00B77D99"/>
    <w:rsid w:val="00B77EE3"/>
    <w:rsid w:val="00B77F29"/>
    <w:rsid w:val="00B801AF"/>
    <w:rsid w:val="00B802BC"/>
    <w:rsid w:val="00B8047B"/>
    <w:rsid w:val="00B808A3"/>
    <w:rsid w:val="00B80A11"/>
    <w:rsid w:val="00B80CFA"/>
    <w:rsid w:val="00B80EC4"/>
    <w:rsid w:val="00B80FC0"/>
    <w:rsid w:val="00B810C3"/>
    <w:rsid w:val="00B810D8"/>
    <w:rsid w:val="00B810FB"/>
    <w:rsid w:val="00B812AE"/>
    <w:rsid w:val="00B81334"/>
    <w:rsid w:val="00B8143E"/>
    <w:rsid w:val="00B817C3"/>
    <w:rsid w:val="00B8184E"/>
    <w:rsid w:val="00B81C51"/>
    <w:rsid w:val="00B81ECA"/>
    <w:rsid w:val="00B82039"/>
    <w:rsid w:val="00B820D0"/>
    <w:rsid w:val="00B82197"/>
    <w:rsid w:val="00B823E9"/>
    <w:rsid w:val="00B82491"/>
    <w:rsid w:val="00B827E0"/>
    <w:rsid w:val="00B827F8"/>
    <w:rsid w:val="00B82843"/>
    <w:rsid w:val="00B8290B"/>
    <w:rsid w:val="00B829A6"/>
    <w:rsid w:val="00B82A63"/>
    <w:rsid w:val="00B82D4D"/>
    <w:rsid w:val="00B82D9A"/>
    <w:rsid w:val="00B82DFD"/>
    <w:rsid w:val="00B82E4F"/>
    <w:rsid w:val="00B82FE6"/>
    <w:rsid w:val="00B83114"/>
    <w:rsid w:val="00B83123"/>
    <w:rsid w:val="00B8319E"/>
    <w:rsid w:val="00B8328F"/>
    <w:rsid w:val="00B832B8"/>
    <w:rsid w:val="00B83378"/>
    <w:rsid w:val="00B8340F"/>
    <w:rsid w:val="00B839DD"/>
    <w:rsid w:val="00B83B66"/>
    <w:rsid w:val="00B83C2C"/>
    <w:rsid w:val="00B83E1E"/>
    <w:rsid w:val="00B8413E"/>
    <w:rsid w:val="00B8419D"/>
    <w:rsid w:val="00B84201"/>
    <w:rsid w:val="00B845E5"/>
    <w:rsid w:val="00B848F2"/>
    <w:rsid w:val="00B849F1"/>
    <w:rsid w:val="00B849FB"/>
    <w:rsid w:val="00B84A27"/>
    <w:rsid w:val="00B84A31"/>
    <w:rsid w:val="00B84B72"/>
    <w:rsid w:val="00B84BF8"/>
    <w:rsid w:val="00B84C29"/>
    <w:rsid w:val="00B84FC0"/>
    <w:rsid w:val="00B8508F"/>
    <w:rsid w:val="00B851F7"/>
    <w:rsid w:val="00B85255"/>
    <w:rsid w:val="00B85341"/>
    <w:rsid w:val="00B85443"/>
    <w:rsid w:val="00B855F0"/>
    <w:rsid w:val="00B8560C"/>
    <w:rsid w:val="00B85A6D"/>
    <w:rsid w:val="00B85A9E"/>
    <w:rsid w:val="00B85ABB"/>
    <w:rsid w:val="00B85DE4"/>
    <w:rsid w:val="00B85F8F"/>
    <w:rsid w:val="00B86012"/>
    <w:rsid w:val="00B86026"/>
    <w:rsid w:val="00B86059"/>
    <w:rsid w:val="00B8613D"/>
    <w:rsid w:val="00B8640F"/>
    <w:rsid w:val="00B86624"/>
    <w:rsid w:val="00B86A8D"/>
    <w:rsid w:val="00B86F7E"/>
    <w:rsid w:val="00B871A7"/>
    <w:rsid w:val="00B872E2"/>
    <w:rsid w:val="00B87391"/>
    <w:rsid w:val="00B87603"/>
    <w:rsid w:val="00B876AC"/>
    <w:rsid w:val="00B876ED"/>
    <w:rsid w:val="00B87949"/>
    <w:rsid w:val="00B87A05"/>
    <w:rsid w:val="00B87B58"/>
    <w:rsid w:val="00B87C1D"/>
    <w:rsid w:val="00B87E30"/>
    <w:rsid w:val="00B87F94"/>
    <w:rsid w:val="00B9001E"/>
    <w:rsid w:val="00B900D3"/>
    <w:rsid w:val="00B90188"/>
    <w:rsid w:val="00B9022A"/>
    <w:rsid w:val="00B9044A"/>
    <w:rsid w:val="00B904CC"/>
    <w:rsid w:val="00B905E7"/>
    <w:rsid w:val="00B906D6"/>
    <w:rsid w:val="00B90856"/>
    <w:rsid w:val="00B90A3C"/>
    <w:rsid w:val="00B90D38"/>
    <w:rsid w:val="00B911A6"/>
    <w:rsid w:val="00B91252"/>
    <w:rsid w:val="00B912D9"/>
    <w:rsid w:val="00B913E8"/>
    <w:rsid w:val="00B913FC"/>
    <w:rsid w:val="00B91626"/>
    <w:rsid w:val="00B9195B"/>
    <w:rsid w:val="00B91AFB"/>
    <w:rsid w:val="00B91B1F"/>
    <w:rsid w:val="00B91EDA"/>
    <w:rsid w:val="00B921A7"/>
    <w:rsid w:val="00B924ED"/>
    <w:rsid w:val="00B9254B"/>
    <w:rsid w:val="00B9259F"/>
    <w:rsid w:val="00B926EA"/>
    <w:rsid w:val="00B92741"/>
    <w:rsid w:val="00B92745"/>
    <w:rsid w:val="00B929A3"/>
    <w:rsid w:val="00B92A3D"/>
    <w:rsid w:val="00B92B86"/>
    <w:rsid w:val="00B92D1E"/>
    <w:rsid w:val="00B92D96"/>
    <w:rsid w:val="00B92DC9"/>
    <w:rsid w:val="00B92DE5"/>
    <w:rsid w:val="00B931FB"/>
    <w:rsid w:val="00B93377"/>
    <w:rsid w:val="00B93413"/>
    <w:rsid w:val="00B93484"/>
    <w:rsid w:val="00B93569"/>
    <w:rsid w:val="00B935BD"/>
    <w:rsid w:val="00B936D6"/>
    <w:rsid w:val="00B938B7"/>
    <w:rsid w:val="00B93966"/>
    <w:rsid w:val="00B93A7A"/>
    <w:rsid w:val="00B93D5D"/>
    <w:rsid w:val="00B93D96"/>
    <w:rsid w:val="00B93DF5"/>
    <w:rsid w:val="00B94205"/>
    <w:rsid w:val="00B94554"/>
    <w:rsid w:val="00B945C3"/>
    <w:rsid w:val="00B94690"/>
    <w:rsid w:val="00B9477C"/>
    <w:rsid w:val="00B9488F"/>
    <w:rsid w:val="00B94942"/>
    <w:rsid w:val="00B94AA6"/>
    <w:rsid w:val="00B94C4B"/>
    <w:rsid w:val="00B94DB3"/>
    <w:rsid w:val="00B94F97"/>
    <w:rsid w:val="00B9545D"/>
    <w:rsid w:val="00B95654"/>
    <w:rsid w:val="00B956AC"/>
    <w:rsid w:val="00B95763"/>
    <w:rsid w:val="00B957BF"/>
    <w:rsid w:val="00B95C53"/>
    <w:rsid w:val="00B95E67"/>
    <w:rsid w:val="00B96266"/>
    <w:rsid w:val="00B96503"/>
    <w:rsid w:val="00B965A1"/>
    <w:rsid w:val="00B96798"/>
    <w:rsid w:val="00B9679E"/>
    <w:rsid w:val="00B9688F"/>
    <w:rsid w:val="00B96B48"/>
    <w:rsid w:val="00B97119"/>
    <w:rsid w:val="00B97195"/>
    <w:rsid w:val="00B9727E"/>
    <w:rsid w:val="00B9743E"/>
    <w:rsid w:val="00B9757E"/>
    <w:rsid w:val="00B97709"/>
    <w:rsid w:val="00B97777"/>
    <w:rsid w:val="00B9789D"/>
    <w:rsid w:val="00B979B2"/>
    <w:rsid w:val="00B97AD3"/>
    <w:rsid w:val="00B97AF6"/>
    <w:rsid w:val="00B97B13"/>
    <w:rsid w:val="00B97C1B"/>
    <w:rsid w:val="00B97E74"/>
    <w:rsid w:val="00B97EE2"/>
    <w:rsid w:val="00B97F18"/>
    <w:rsid w:val="00B97F2D"/>
    <w:rsid w:val="00B97FBA"/>
    <w:rsid w:val="00BA0077"/>
    <w:rsid w:val="00BA008B"/>
    <w:rsid w:val="00BA00F5"/>
    <w:rsid w:val="00BA04FD"/>
    <w:rsid w:val="00BA06ED"/>
    <w:rsid w:val="00BA0789"/>
    <w:rsid w:val="00BA0861"/>
    <w:rsid w:val="00BA090E"/>
    <w:rsid w:val="00BA0A67"/>
    <w:rsid w:val="00BA0B31"/>
    <w:rsid w:val="00BA0D36"/>
    <w:rsid w:val="00BA0D93"/>
    <w:rsid w:val="00BA0DC4"/>
    <w:rsid w:val="00BA0E99"/>
    <w:rsid w:val="00BA0FED"/>
    <w:rsid w:val="00BA1055"/>
    <w:rsid w:val="00BA10EB"/>
    <w:rsid w:val="00BA121C"/>
    <w:rsid w:val="00BA1325"/>
    <w:rsid w:val="00BA137E"/>
    <w:rsid w:val="00BA1B2E"/>
    <w:rsid w:val="00BA1B7D"/>
    <w:rsid w:val="00BA1C21"/>
    <w:rsid w:val="00BA200D"/>
    <w:rsid w:val="00BA2071"/>
    <w:rsid w:val="00BA20BB"/>
    <w:rsid w:val="00BA2105"/>
    <w:rsid w:val="00BA2163"/>
    <w:rsid w:val="00BA234B"/>
    <w:rsid w:val="00BA2668"/>
    <w:rsid w:val="00BA28A0"/>
    <w:rsid w:val="00BA28A7"/>
    <w:rsid w:val="00BA2C9A"/>
    <w:rsid w:val="00BA2C9C"/>
    <w:rsid w:val="00BA2E1A"/>
    <w:rsid w:val="00BA2E47"/>
    <w:rsid w:val="00BA2FA1"/>
    <w:rsid w:val="00BA319A"/>
    <w:rsid w:val="00BA3244"/>
    <w:rsid w:val="00BA3262"/>
    <w:rsid w:val="00BA36A1"/>
    <w:rsid w:val="00BA3979"/>
    <w:rsid w:val="00BA39D8"/>
    <w:rsid w:val="00BA3BE5"/>
    <w:rsid w:val="00BA413F"/>
    <w:rsid w:val="00BA440F"/>
    <w:rsid w:val="00BA44AA"/>
    <w:rsid w:val="00BA471B"/>
    <w:rsid w:val="00BA4728"/>
    <w:rsid w:val="00BA475C"/>
    <w:rsid w:val="00BA4791"/>
    <w:rsid w:val="00BA4852"/>
    <w:rsid w:val="00BA4CD8"/>
    <w:rsid w:val="00BA4D0A"/>
    <w:rsid w:val="00BA4DBE"/>
    <w:rsid w:val="00BA4F2B"/>
    <w:rsid w:val="00BA5147"/>
    <w:rsid w:val="00BA51DD"/>
    <w:rsid w:val="00BA51DF"/>
    <w:rsid w:val="00BA520F"/>
    <w:rsid w:val="00BA52B5"/>
    <w:rsid w:val="00BA5346"/>
    <w:rsid w:val="00BA5521"/>
    <w:rsid w:val="00BA5607"/>
    <w:rsid w:val="00BA5750"/>
    <w:rsid w:val="00BA5A02"/>
    <w:rsid w:val="00BA5C56"/>
    <w:rsid w:val="00BA5DFF"/>
    <w:rsid w:val="00BA5ECA"/>
    <w:rsid w:val="00BA5F3B"/>
    <w:rsid w:val="00BA600E"/>
    <w:rsid w:val="00BA6025"/>
    <w:rsid w:val="00BA60A4"/>
    <w:rsid w:val="00BA60F7"/>
    <w:rsid w:val="00BA6285"/>
    <w:rsid w:val="00BA632E"/>
    <w:rsid w:val="00BA66A6"/>
    <w:rsid w:val="00BA6A84"/>
    <w:rsid w:val="00BA6BC2"/>
    <w:rsid w:val="00BA6DD7"/>
    <w:rsid w:val="00BA7013"/>
    <w:rsid w:val="00BA7047"/>
    <w:rsid w:val="00BA71D7"/>
    <w:rsid w:val="00BA7879"/>
    <w:rsid w:val="00BA7AC6"/>
    <w:rsid w:val="00BA7AEA"/>
    <w:rsid w:val="00BA7D01"/>
    <w:rsid w:val="00BA7D31"/>
    <w:rsid w:val="00BA7EF4"/>
    <w:rsid w:val="00BB0159"/>
    <w:rsid w:val="00BB027B"/>
    <w:rsid w:val="00BB076C"/>
    <w:rsid w:val="00BB0778"/>
    <w:rsid w:val="00BB0A1E"/>
    <w:rsid w:val="00BB0B3A"/>
    <w:rsid w:val="00BB0D69"/>
    <w:rsid w:val="00BB0F6E"/>
    <w:rsid w:val="00BB0FB0"/>
    <w:rsid w:val="00BB117D"/>
    <w:rsid w:val="00BB11A1"/>
    <w:rsid w:val="00BB13EE"/>
    <w:rsid w:val="00BB1589"/>
    <w:rsid w:val="00BB1670"/>
    <w:rsid w:val="00BB182D"/>
    <w:rsid w:val="00BB200C"/>
    <w:rsid w:val="00BB2113"/>
    <w:rsid w:val="00BB2177"/>
    <w:rsid w:val="00BB238A"/>
    <w:rsid w:val="00BB23F8"/>
    <w:rsid w:val="00BB2457"/>
    <w:rsid w:val="00BB27DB"/>
    <w:rsid w:val="00BB2B4B"/>
    <w:rsid w:val="00BB2BD9"/>
    <w:rsid w:val="00BB2D2F"/>
    <w:rsid w:val="00BB2F87"/>
    <w:rsid w:val="00BB2FB4"/>
    <w:rsid w:val="00BB31F4"/>
    <w:rsid w:val="00BB3203"/>
    <w:rsid w:val="00BB325F"/>
    <w:rsid w:val="00BB3318"/>
    <w:rsid w:val="00BB33A5"/>
    <w:rsid w:val="00BB364E"/>
    <w:rsid w:val="00BB37B5"/>
    <w:rsid w:val="00BB3939"/>
    <w:rsid w:val="00BB3A79"/>
    <w:rsid w:val="00BB3E5F"/>
    <w:rsid w:val="00BB40B6"/>
    <w:rsid w:val="00BB42CB"/>
    <w:rsid w:val="00BB44C9"/>
    <w:rsid w:val="00BB477E"/>
    <w:rsid w:val="00BB482C"/>
    <w:rsid w:val="00BB4944"/>
    <w:rsid w:val="00BB4C07"/>
    <w:rsid w:val="00BB4CDF"/>
    <w:rsid w:val="00BB4F67"/>
    <w:rsid w:val="00BB51A8"/>
    <w:rsid w:val="00BB55BF"/>
    <w:rsid w:val="00BB560C"/>
    <w:rsid w:val="00BB574A"/>
    <w:rsid w:val="00BB5AE0"/>
    <w:rsid w:val="00BB5B1A"/>
    <w:rsid w:val="00BB5DB0"/>
    <w:rsid w:val="00BB6035"/>
    <w:rsid w:val="00BB6043"/>
    <w:rsid w:val="00BB6070"/>
    <w:rsid w:val="00BB609B"/>
    <w:rsid w:val="00BB6254"/>
    <w:rsid w:val="00BB6266"/>
    <w:rsid w:val="00BB62A6"/>
    <w:rsid w:val="00BB6406"/>
    <w:rsid w:val="00BB6425"/>
    <w:rsid w:val="00BB644E"/>
    <w:rsid w:val="00BB64B2"/>
    <w:rsid w:val="00BB64DA"/>
    <w:rsid w:val="00BB6594"/>
    <w:rsid w:val="00BB66EE"/>
    <w:rsid w:val="00BB6748"/>
    <w:rsid w:val="00BB6A8D"/>
    <w:rsid w:val="00BB6AE4"/>
    <w:rsid w:val="00BB6B57"/>
    <w:rsid w:val="00BB6F3B"/>
    <w:rsid w:val="00BB73AD"/>
    <w:rsid w:val="00BB74B9"/>
    <w:rsid w:val="00BB757D"/>
    <w:rsid w:val="00BB75B4"/>
    <w:rsid w:val="00BB7996"/>
    <w:rsid w:val="00BB79C9"/>
    <w:rsid w:val="00BB79CF"/>
    <w:rsid w:val="00BB79D4"/>
    <w:rsid w:val="00BB7B74"/>
    <w:rsid w:val="00BB7CE6"/>
    <w:rsid w:val="00BB7D90"/>
    <w:rsid w:val="00BC0061"/>
    <w:rsid w:val="00BC00F1"/>
    <w:rsid w:val="00BC01C6"/>
    <w:rsid w:val="00BC02D9"/>
    <w:rsid w:val="00BC046A"/>
    <w:rsid w:val="00BC0563"/>
    <w:rsid w:val="00BC082C"/>
    <w:rsid w:val="00BC082D"/>
    <w:rsid w:val="00BC0A1C"/>
    <w:rsid w:val="00BC0A1F"/>
    <w:rsid w:val="00BC0A2B"/>
    <w:rsid w:val="00BC0B37"/>
    <w:rsid w:val="00BC0C63"/>
    <w:rsid w:val="00BC0E1E"/>
    <w:rsid w:val="00BC0EFC"/>
    <w:rsid w:val="00BC0F9A"/>
    <w:rsid w:val="00BC0FE5"/>
    <w:rsid w:val="00BC155F"/>
    <w:rsid w:val="00BC17BC"/>
    <w:rsid w:val="00BC19A5"/>
    <w:rsid w:val="00BC1A6C"/>
    <w:rsid w:val="00BC1B69"/>
    <w:rsid w:val="00BC1C74"/>
    <w:rsid w:val="00BC2101"/>
    <w:rsid w:val="00BC2333"/>
    <w:rsid w:val="00BC2877"/>
    <w:rsid w:val="00BC2A1E"/>
    <w:rsid w:val="00BC2C75"/>
    <w:rsid w:val="00BC2EE4"/>
    <w:rsid w:val="00BC2F06"/>
    <w:rsid w:val="00BC3233"/>
    <w:rsid w:val="00BC3301"/>
    <w:rsid w:val="00BC3309"/>
    <w:rsid w:val="00BC34DB"/>
    <w:rsid w:val="00BC351B"/>
    <w:rsid w:val="00BC3644"/>
    <w:rsid w:val="00BC3701"/>
    <w:rsid w:val="00BC3A03"/>
    <w:rsid w:val="00BC3CA6"/>
    <w:rsid w:val="00BC3DFC"/>
    <w:rsid w:val="00BC3E10"/>
    <w:rsid w:val="00BC47E8"/>
    <w:rsid w:val="00BC481C"/>
    <w:rsid w:val="00BC49DA"/>
    <w:rsid w:val="00BC4B34"/>
    <w:rsid w:val="00BC4B3C"/>
    <w:rsid w:val="00BC4E2A"/>
    <w:rsid w:val="00BC510B"/>
    <w:rsid w:val="00BC510E"/>
    <w:rsid w:val="00BC535B"/>
    <w:rsid w:val="00BC5370"/>
    <w:rsid w:val="00BC5499"/>
    <w:rsid w:val="00BC5540"/>
    <w:rsid w:val="00BC55C7"/>
    <w:rsid w:val="00BC59CA"/>
    <w:rsid w:val="00BC5A2D"/>
    <w:rsid w:val="00BC5D59"/>
    <w:rsid w:val="00BC5EE3"/>
    <w:rsid w:val="00BC5EEA"/>
    <w:rsid w:val="00BC5F85"/>
    <w:rsid w:val="00BC60C6"/>
    <w:rsid w:val="00BC615D"/>
    <w:rsid w:val="00BC63A5"/>
    <w:rsid w:val="00BC654A"/>
    <w:rsid w:val="00BC6573"/>
    <w:rsid w:val="00BC670A"/>
    <w:rsid w:val="00BC6716"/>
    <w:rsid w:val="00BC67D6"/>
    <w:rsid w:val="00BC6DD7"/>
    <w:rsid w:val="00BC6FC4"/>
    <w:rsid w:val="00BC71A9"/>
    <w:rsid w:val="00BC7475"/>
    <w:rsid w:val="00BC791E"/>
    <w:rsid w:val="00BC79A8"/>
    <w:rsid w:val="00BC7AE9"/>
    <w:rsid w:val="00BC7CCC"/>
    <w:rsid w:val="00BD000F"/>
    <w:rsid w:val="00BD00E5"/>
    <w:rsid w:val="00BD0319"/>
    <w:rsid w:val="00BD052B"/>
    <w:rsid w:val="00BD081A"/>
    <w:rsid w:val="00BD0B62"/>
    <w:rsid w:val="00BD0BD5"/>
    <w:rsid w:val="00BD0F9B"/>
    <w:rsid w:val="00BD0FF6"/>
    <w:rsid w:val="00BD10C3"/>
    <w:rsid w:val="00BD1170"/>
    <w:rsid w:val="00BD11B3"/>
    <w:rsid w:val="00BD152C"/>
    <w:rsid w:val="00BD1631"/>
    <w:rsid w:val="00BD1775"/>
    <w:rsid w:val="00BD1ADF"/>
    <w:rsid w:val="00BD1D65"/>
    <w:rsid w:val="00BD1D88"/>
    <w:rsid w:val="00BD1DF6"/>
    <w:rsid w:val="00BD1E5C"/>
    <w:rsid w:val="00BD2014"/>
    <w:rsid w:val="00BD2133"/>
    <w:rsid w:val="00BD2215"/>
    <w:rsid w:val="00BD23EE"/>
    <w:rsid w:val="00BD2527"/>
    <w:rsid w:val="00BD2696"/>
    <w:rsid w:val="00BD2AC5"/>
    <w:rsid w:val="00BD2AD5"/>
    <w:rsid w:val="00BD2DFD"/>
    <w:rsid w:val="00BD33FA"/>
    <w:rsid w:val="00BD355A"/>
    <w:rsid w:val="00BD359D"/>
    <w:rsid w:val="00BD3B1D"/>
    <w:rsid w:val="00BD3C23"/>
    <w:rsid w:val="00BD3CE0"/>
    <w:rsid w:val="00BD3F52"/>
    <w:rsid w:val="00BD3FA9"/>
    <w:rsid w:val="00BD4047"/>
    <w:rsid w:val="00BD411A"/>
    <w:rsid w:val="00BD42CE"/>
    <w:rsid w:val="00BD433C"/>
    <w:rsid w:val="00BD451A"/>
    <w:rsid w:val="00BD4520"/>
    <w:rsid w:val="00BD48B8"/>
    <w:rsid w:val="00BD4A41"/>
    <w:rsid w:val="00BD4B47"/>
    <w:rsid w:val="00BD5207"/>
    <w:rsid w:val="00BD522B"/>
    <w:rsid w:val="00BD53D0"/>
    <w:rsid w:val="00BD56F3"/>
    <w:rsid w:val="00BD599C"/>
    <w:rsid w:val="00BD5A24"/>
    <w:rsid w:val="00BD5A72"/>
    <w:rsid w:val="00BD5B86"/>
    <w:rsid w:val="00BD5BCC"/>
    <w:rsid w:val="00BD5EA0"/>
    <w:rsid w:val="00BD5F97"/>
    <w:rsid w:val="00BD60AB"/>
    <w:rsid w:val="00BD60E0"/>
    <w:rsid w:val="00BD60FD"/>
    <w:rsid w:val="00BD6145"/>
    <w:rsid w:val="00BD641B"/>
    <w:rsid w:val="00BD6769"/>
    <w:rsid w:val="00BD67BB"/>
    <w:rsid w:val="00BD68D0"/>
    <w:rsid w:val="00BD6A52"/>
    <w:rsid w:val="00BD6C6D"/>
    <w:rsid w:val="00BD6DF2"/>
    <w:rsid w:val="00BD6F2A"/>
    <w:rsid w:val="00BD704D"/>
    <w:rsid w:val="00BD70B6"/>
    <w:rsid w:val="00BD716D"/>
    <w:rsid w:val="00BD7170"/>
    <w:rsid w:val="00BD71DF"/>
    <w:rsid w:val="00BD736C"/>
    <w:rsid w:val="00BD746B"/>
    <w:rsid w:val="00BD74DF"/>
    <w:rsid w:val="00BD7739"/>
    <w:rsid w:val="00BD7877"/>
    <w:rsid w:val="00BD787C"/>
    <w:rsid w:val="00BD7918"/>
    <w:rsid w:val="00BD79EE"/>
    <w:rsid w:val="00BD7B58"/>
    <w:rsid w:val="00BD7C74"/>
    <w:rsid w:val="00BD7EE4"/>
    <w:rsid w:val="00BD7F19"/>
    <w:rsid w:val="00BD7F60"/>
    <w:rsid w:val="00BD7F61"/>
    <w:rsid w:val="00BD7FCA"/>
    <w:rsid w:val="00BE0025"/>
    <w:rsid w:val="00BE02C9"/>
    <w:rsid w:val="00BE03A6"/>
    <w:rsid w:val="00BE042C"/>
    <w:rsid w:val="00BE04B0"/>
    <w:rsid w:val="00BE04C6"/>
    <w:rsid w:val="00BE06B0"/>
    <w:rsid w:val="00BE07FF"/>
    <w:rsid w:val="00BE089D"/>
    <w:rsid w:val="00BE0923"/>
    <w:rsid w:val="00BE0A26"/>
    <w:rsid w:val="00BE0A7F"/>
    <w:rsid w:val="00BE0D59"/>
    <w:rsid w:val="00BE0D6F"/>
    <w:rsid w:val="00BE0F30"/>
    <w:rsid w:val="00BE10B4"/>
    <w:rsid w:val="00BE1145"/>
    <w:rsid w:val="00BE13A4"/>
    <w:rsid w:val="00BE1499"/>
    <w:rsid w:val="00BE1753"/>
    <w:rsid w:val="00BE1823"/>
    <w:rsid w:val="00BE1A40"/>
    <w:rsid w:val="00BE1AFE"/>
    <w:rsid w:val="00BE1C46"/>
    <w:rsid w:val="00BE1D03"/>
    <w:rsid w:val="00BE20B9"/>
    <w:rsid w:val="00BE2358"/>
    <w:rsid w:val="00BE2414"/>
    <w:rsid w:val="00BE2615"/>
    <w:rsid w:val="00BE298A"/>
    <w:rsid w:val="00BE2B5F"/>
    <w:rsid w:val="00BE2B62"/>
    <w:rsid w:val="00BE2C31"/>
    <w:rsid w:val="00BE2D83"/>
    <w:rsid w:val="00BE2F74"/>
    <w:rsid w:val="00BE2FAB"/>
    <w:rsid w:val="00BE3079"/>
    <w:rsid w:val="00BE3307"/>
    <w:rsid w:val="00BE3400"/>
    <w:rsid w:val="00BE357E"/>
    <w:rsid w:val="00BE3756"/>
    <w:rsid w:val="00BE37EA"/>
    <w:rsid w:val="00BE3ACC"/>
    <w:rsid w:val="00BE3B32"/>
    <w:rsid w:val="00BE3BDB"/>
    <w:rsid w:val="00BE3DD5"/>
    <w:rsid w:val="00BE3F62"/>
    <w:rsid w:val="00BE406C"/>
    <w:rsid w:val="00BE407B"/>
    <w:rsid w:val="00BE4494"/>
    <w:rsid w:val="00BE4670"/>
    <w:rsid w:val="00BE48DE"/>
    <w:rsid w:val="00BE4910"/>
    <w:rsid w:val="00BE4C5C"/>
    <w:rsid w:val="00BE4C90"/>
    <w:rsid w:val="00BE4C9C"/>
    <w:rsid w:val="00BE4D2F"/>
    <w:rsid w:val="00BE4E03"/>
    <w:rsid w:val="00BE50BB"/>
    <w:rsid w:val="00BE5212"/>
    <w:rsid w:val="00BE52C5"/>
    <w:rsid w:val="00BE539D"/>
    <w:rsid w:val="00BE53C3"/>
    <w:rsid w:val="00BE5646"/>
    <w:rsid w:val="00BE57B0"/>
    <w:rsid w:val="00BE59EA"/>
    <w:rsid w:val="00BE5D41"/>
    <w:rsid w:val="00BE5E19"/>
    <w:rsid w:val="00BE61D9"/>
    <w:rsid w:val="00BE6253"/>
    <w:rsid w:val="00BE6315"/>
    <w:rsid w:val="00BE6400"/>
    <w:rsid w:val="00BE64BF"/>
    <w:rsid w:val="00BE64C9"/>
    <w:rsid w:val="00BE659E"/>
    <w:rsid w:val="00BE6BB2"/>
    <w:rsid w:val="00BE6C99"/>
    <w:rsid w:val="00BE6DB3"/>
    <w:rsid w:val="00BE6DBA"/>
    <w:rsid w:val="00BE6E1B"/>
    <w:rsid w:val="00BE6EF0"/>
    <w:rsid w:val="00BE6EF5"/>
    <w:rsid w:val="00BE6FC2"/>
    <w:rsid w:val="00BE6FEB"/>
    <w:rsid w:val="00BE702E"/>
    <w:rsid w:val="00BE730D"/>
    <w:rsid w:val="00BE75F8"/>
    <w:rsid w:val="00BE78BB"/>
    <w:rsid w:val="00BE795D"/>
    <w:rsid w:val="00BE7C46"/>
    <w:rsid w:val="00BE7F58"/>
    <w:rsid w:val="00BF02B6"/>
    <w:rsid w:val="00BF067C"/>
    <w:rsid w:val="00BF0A58"/>
    <w:rsid w:val="00BF0AF6"/>
    <w:rsid w:val="00BF0C53"/>
    <w:rsid w:val="00BF0D6E"/>
    <w:rsid w:val="00BF0F3E"/>
    <w:rsid w:val="00BF125F"/>
    <w:rsid w:val="00BF1565"/>
    <w:rsid w:val="00BF172D"/>
    <w:rsid w:val="00BF1793"/>
    <w:rsid w:val="00BF1821"/>
    <w:rsid w:val="00BF19B9"/>
    <w:rsid w:val="00BF1A37"/>
    <w:rsid w:val="00BF1A7D"/>
    <w:rsid w:val="00BF1B4B"/>
    <w:rsid w:val="00BF1BEE"/>
    <w:rsid w:val="00BF1C14"/>
    <w:rsid w:val="00BF1DEF"/>
    <w:rsid w:val="00BF1EAC"/>
    <w:rsid w:val="00BF1F80"/>
    <w:rsid w:val="00BF20E2"/>
    <w:rsid w:val="00BF230B"/>
    <w:rsid w:val="00BF2543"/>
    <w:rsid w:val="00BF2817"/>
    <w:rsid w:val="00BF2A4B"/>
    <w:rsid w:val="00BF2F55"/>
    <w:rsid w:val="00BF32DE"/>
    <w:rsid w:val="00BF3338"/>
    <w:rsid w:val="00BF34AF"/>
    <w:rsid w:val="00BF34B1"/>
    <w:rsid w:val="00BF34F9"/>
    <w:rsid w:val="00BF3747"/>
    <w:rsid w:val="00BF37DC"/>
    <w:rsid w:val="00BF38B2"/>
    <w:rsid w:val="00BF39BB"/>
    <w:rsid w:val="00BF3D1C"/>
    <w:rsid w:val="00BF3D62"/>
    <w:rsid w:val="00BF3DEF"/>
    <w:rsid w:val="00BF3E6C"/>
    <w:rsid w:val="00BF3EF8"/>
    <w:rsid w:val="00BF4050"/>
    <w:rsid w:val="00BF4143"/>
    <w:rsid w:val="00BF42FE"/>
    <w:rsid w:val="00BF4606"/>
    <w:rsid w:val="00BF47DA"/>
    <w:rsid w:val="00BF4827"/>
    <w:rsid w:val="00BF4841"/>
    <w:rsid w:val="00BF4AC5"/>
    <w:rsid w:val="00BF4AF7"/>
    <w:rsid w:val="00BF4D4E"/>
    <w:rsid w:val="00BF4DA5"/>
    <w:rsid w:val="00BF4E38"/>
    <w:rsid w:val="00BF4E7E"/>
    <w:rsid w:val="00BF4ECA"/>
    <w:rsid w:val="00BF5008"/>
    <w:rsid w:val="00BF51F9"/>
    <w:rsid w:val="00BF52AA"/>
    <w:rsid w:val="00BF539E"/>
    <w:rsid w:val="00BF5408"/>
    <w:rsid w:val="00BF57C4"/>
    <w:rsid w:val="00BF5B2C"/>
    <w:rsid w:val="00BF5C8A"/>
    <w:rsid w:val="00BF5CEC"/>
    <w:rsid w:val="00BF5D19"/>
    <w:rsid w:val="00BF5D23"/>
    <w:rsid w:val="00BF5F14"/>
    <w:rsid w:val="00BF5FF5"/>
    <w:rsid w:val="00BF6065"/>
    <w:rsid w:val="00BF6277"/>
    <w:rsid w:val="00BF64B7"/>
    <w:rsid w:val="00BF654C"/>
    <w:rsid w:val="00BF687A"/>
    <w:rsid w:val="00BF68B3"/>
    <w:rsid w:val="00BF68BE"/>
    <w:rsid w:val="00BF69B4"/>
    <w:rsid w:val="00BF6A65"/>
    <w:rsid w:val="00BF6B46"/>
    <w:rsid w:val="00BF7049"/>
    <w:rsid w:val="00BF7110"/>
    <w:rsid w:val="00BF713D"/>
    <w:rsid w:val="00BF73C3"/>
    <w:rsid w:val="00BF750F"/>
    <w:rsid w:val="00BF75D0"/>
    <w:rsid w:val="00BF762E"/>
    <w:rsid w:val="00BF791F"/>
    <w:rsid w:val="00BF797D"/>
    <w:rsid w:val="00BF7D9F"/>
    <w:rsid w:val="00BF7DBD"/>
    <w:rsid w:val="00C00277"/>
    <w:rsid w:val="00C00843"/>
    <w:rsid w:val="00C00923"/>
    <w:rsid w:val="00C00C50"/>
    <w:rsid w:val="00C00DBD"/>
    <w:rsid w:val="00C011FB"/>
    <w:rsid w:val="00C01240"/>
    <w:rsid w:val="00C0150E"/>
    <w:rsid w:val="00C0180A"/>
    <w:rsid w:val="00C01B11"/>
    <w:rsid w:val="00C01B18"/>
    <w:rsid w:val="00C01C40"/>
    <w:rsid w:val="00C01D0F"/>
    <w:rsid w:val="00C01D74"/>
    <w:rsid w:val="00C01F4A"/>
    <w:rsid w:val="00C02250"/>
    <w:rsid w:val="00C025E7"/>
    <w:rsid w:val="00C028C1"/>
    <w:rsid w:val="00C02CE2"/>
    <w:rsid w:val="00C02E8A"/>
    <w:rsid w:val="00C02F46"/>
    <w:rsid w:val="00C02FCB"/>
    <w:rsid w:val="00C02FE0"/>
    <w:rsid w:val="00C033E0"/>
    <w:rsid w:val="00C03477"/>
    <w:rsid w:val="00C03522"/>
    <w:rsid w:val="00C036B6"/>
    <w:rsid w:val="00C0394D"/>
    <w:rsid w:val="00C039D3"/>
    <w:rsid w:val="00C03B1C"/>
    <w:rsid w:val="00C03B5C"/>
    <w:rsid w:val="00C03BAA"/>
    <w:rsid w:val="00C03BC1"/>
    <w:rsid w:val="00C03D05"/>
    <w:rsid w:val="00C03E8D"/>
    <w:rsid w:val="00C03FCF"/>
    <w:rsid w:val="00C04067"/>
    <w:rsid w:val="00C040D7"/>
    <w:rsid w:val="00C041CF"/>
    <w:rsid w:val="00C0433B"/>
    <w:rsid w:val="00C0438C"/>
    <w:rsid w:val="00C04440"/>
    <w:rsid w:val="00C04444"/>
    <w:rsid w:val="00C044C8"/>
    <w:rsid w:val="00C047B9"/>
    <w:rsid w:val="00C048C3"/>
    <w:rsid w:val="00C04ACD"/>
    <w:rsid w:val="00C04AD3"/>
    <w:rsid w:val="00C04B0B"/>
    <w:rsid w:val="00C04BCF"/>
    <w:rsid w:val="00C04D75"/>
    <w:rsid w:val="00C04E6F"/>
    <w:rsid w:val="00C04E72"/>
    <w:rsid w:val="00C04F2C"/>
    <w:rsid w:val="00C05043"/>
    <w:rsid w:val="00C051C7"/>
    <w:rsid w:val="00C05437"/>
    <w:rsid w:val="00C05460"/>
    <w:rsid w:val="00C05579"/>
    <w:rsid w:val="00C05591"/>
    <w:rsid w:val="00C0560E"/>
    <w:rsid w:val="00C05627"/>
    <w:rsid w:val="00C05736"/>
    <w:rsid w:val="00C05894"/>
    <w:rsid w:val="00C058FA"/>
    <w:rsid w:val="00C059FD"/>
    <w:rsid w:val="00C05A0C"/>
    <w:rsid w:val="00C05B76"/>
    <w:rsid w:val="00C05D88"/>
    <w:rsid w:val="00C05DA7"/>
    <w:rsid w:val="00C05FEB"/>
    <w:rsid w:val="00C06491"/>
    <w:rsid w:val="00C06516"/>
    <w:rsid w:val="00C06582"/>
    <w:rsid w:val="00C065F6"/>
    <w:rsid w:val="00C06622"/>
    <w:rsid w:val="00C06661"/>
    <w:rsid w:val="00C0673A"/>
    <w:rsid w:val="00C069A0"/>
    <w:rsid w:val="00C06AD2"/>
    <w:rsid w:val="00C06AEC"/>
    <w:rsid w:val="00C06D55"/>
    <w:rsid w:val="00C06DF3"/>
    <w:rsid w:val="00C06FC3"/>
    <w:rsid w:val="00C07182"/>
    <w:rsid w:val="00C07326"/>
    <w:rsid w:val="00C074AC"/>
    <w:rsid w:val="00C074BC"/>
    <w:rsid w:val="00C075C2"/>
    <w:rsid w:val="00C07702"/>
    <w:rsid w:val="00C0775B"/>
    <w:rsid w:val="00C0783F"/>
    <w:rsid w:val="00C078CA"/>
    <w:rsid w:val="00C0791E"/>
    <w:rsid w:val="00C07BF9"/>
    <w:rsid w:val="00C07E5B"/>
    <w:rsid w:val="00C07F29"/>
    <w:rsid w:val="00C07FF5"/>
    <w:rsid w:val="00C10428"/>
    <w:rsid w:val="00C104B0"/>
    <w:rsid w:val="00C10557"/>
    <w:rsid w:val="00C107F3"/>
    <w:rsid w:val="00C10800"/>
    <w:rsid w:val="00C109EE"/>
    <w:rsid w:val="00C10D32"/>
    <w:rsid w:val="00C10E52"/>
    <w:rsid w:val="00C111D2"/>
    <w:rsid w:val="00C114D8"/>
    <w:rsid w:val="00C116D4"/>
    <w:rsid w:val="00C117F7"/>
    <w:rsid w:val="00C11D63"/>
    <w:rsid w:val="00C11EBF"/>
    <w:rsid w:val="00C11EED"/>
    <w:rsid w:val="00C120EB"/>
    <w:rsid w:val="00C12238"/>
    <w:rsid w:val="00C12541"/>
    <w:rsid w:val="00C125C4"/>
    <w:rsid w:val="00C12616"/>
    <w:rsid w:val="00C126D3"/>
    <w:rsid w:val="00C128A1"/>
    <w:rsid w:val="00C1295F"/>
    <w:rsid w:val="00C12A2E"/>
    <w:rsid w:val="00C12A76"/>
    <w:rsid w:val="00C12EC2"/>
    <w:rsid w:val="00C13128"/>
    <w:rsid w:val="00C1328D"/>
    <w:rsid w:val="00C13291"/>
    <w:rsid w:val="00C13522"/>
    <w:rsid w:val="00C13817"/>
    <w:rsid w:val="00C13870"/>
    <w:rsid w:val="00C13CB3"/>
    <w:rsid w:val="00C13DC6"/>
    <w:rsid w:val="00C13DDC"/>
    <w:rsid w:val="00C13DED"/>
    <w:rsid w:val="00C14267"/>
    <w:rsid w:val="00C142A5"/>
    <w:rsid w:val="00C14773"/>
    <w:rsid w:val="00C147FF"/>
    <w:rsid w:val="00C14962"/>
    <w:rsid w:val="00C14984"/>
    <w:rsid w:val="00C14BEA"/>
    <w:rsid w:val="00C14D1B"/>
    <w:rsid w:val="00C14F2C"/>
    <w:rsid w:val="00C14FC7"/>
    <w:rsid w:val="00C15459"/>
    <w:rsid w:val="00C1557C"/>
    <w:rsid w:val="00C15580"/>
    <w:rsid w:val="00C15699"/>
    <w:rsid w:val="00C15708"/>
    <w:rsid w:val="00C1571A"/>
    <w:rsid w:val="00C157AE"/>
    <w:rsid w:val="00C157B0"/>
    <w:rsid w:val="00C1597E"/>
    <w:rsid w:val="00C1599C"/>
    <w:rsid w:val="00C15A35"/>
    <w:rsid w:val="00C15CAC"/>
    <w:rsid w:val="00C15DC1"/>
    <w:rsid w:val="00C15F73"/>
    <w:rsid w:val="00C160BD"/>
    <w:rsid w:val="00C160FF"/>
    <w:rsid w:val="00C1630E"/>
    <w:rsid w:val="00C16604"/>
    <w:rsid w:val="00C16710"/>
    <w:rsid w:val="00C16BE9"/>
    <w:rsid w:val="00C16CDC"/>
    <w:rsid w:val="00C16D94"/>
    <w:rsid w:val="00C16FCD"/>
    <w:rsid w:val="00C17069"/>
    <w:rsid w:val="00C170B1"/>
    <w:rsid w:val="00C170DB"/>
    <w:rsid w:val="00C170E9"/>
    <w:rsid w:val="00C170EA"/>
    <w:rsid w:val="00C17171"/>
    <w:rsid w:val="00C172D3"/>
    <w:rsid w:val="00C17417"/>
    <w:rsid w:val="00C174F2"/>
    <w:rsid w:val="00C175C9"/>
    <w:rsid w:val="00C177BC"/>
    <w:rsid w:val="00C177C0"/>
    <w:rsid w:val="00C177CF"/>
    <w:rsid w:val="00C17855"/>
    <w:rsid w:val="00C1790F"/>
    <w:rsid w:val="00C17CC8"/>
    <w:rsid w:val="00C17D30"/>
    <w:rsid w:val="00C17EA3"/>
    <w:rsid w:val="00C17ED1"/>
    <w:rsid w:val="00C17F0C"/>
    <w:rsid w:val="00C20275"/>
    <w:rsid w:val="00C2038F"/>
    <w:rsid w:val="00C20485"/>
    <w:rsid w:val="00C204EF"/>
    <w:rsid w:val="00C2053C"/>
    <w:rsid w:val="00C20550"/>
    <w:rsid w:val="00C205ED"/>
    <w:rsid w:val="00C20842"/>
    <w:rsid w:val="00C20881"/>
    <w:rsid w:val="00C20903"/>
    <w:rsid w:val="00C20932"/>
    <w:rsid w:val="00C20933"/>
    <w:rsid w:val="00C2098A"/>
    <w:rsid w:val="00C20A3B"/>
    <w:rsid w:val="00C20DC8"/>
    <w:rsid w:val="00C20DEF"/>
    <w:rsid w:val="00C20E6A"/>
    <w:rsid w:val="00C21615"/>
    <w:rsid w:val="00C21783"/>
    <w:rsid w:val="00C2192D"/>
    <w:rsid w:val="00C21A5D"/>
    <w:rsid w:val="00C21B3C"/>
    <w:rsid w:val="00C21C5D"/>
    <w:rsid w:val="00C21D7A"/>
    <w:rsid w:val="00C21FB5"/>
    <w:rsid w:val="00C220E6"/>
    <w:rsid w:val="00C22104"/>
    <w:rsid w:val="00C22336"/>
    <w:rsid w:val="00C22443"/>
    <w:rsid w:val="00C224B0"/>
    <w:rsid w:val="00C224DE"/>
    <w:rsid w:val="00C2257B"/>
    <w:rsid w:val="00C22636"/>
    <w:rsid w:val="00C2272C"/>
    <w:rsid w:val="00C2272E"/>
    <w:rsid w:val="00C2274B"/>
    <w:rsid w:val="00C228ED"/>
    <w:rsid w:val="00C22A20"/>
    <w:rsid w:val="00C22B89"/>
    <w:rsid w:val="00C22C8B"/>
    <w:rsid w:val="00C22EBC"/>
    <w:rsid w:val="00C22FBA"/>
    <w:rsid w:val="00C2304B"/>
    <w:rsid w:val="00C23145"/>
    <w:rsid w:val="00C231CD"/>
    <w:rsid w:val="00C231D0"/>
    <w:rsid w:val="00C23530"/>
    <w:rsid w:val="00C235A0"/>
    <w:rsid w:val="00C238D0"/>
    <w:rsid w:val="00C23958"/>
    <w:rsid w:val="00C23996"/>
    <w:rsid w:val="00C23A1A"/>
    <w:rsid w:val="00C23A34"/>
    <w:rsid w:val="00C23F38"/>
    <w:rsid w:val="00C23F72"/>
    <w:rsid w:val="00C24032"/>
    <w:rsid w:val="00C241B8"/>
    <w:rsid w:val="00C2424B"/>
    <w:rsid w:val="00C24455"/>
    <w:rsid w:val="00C245EA"/>
    <w:rsid w:val="00C2466D"/>
    <w:rsid w:val="00C24836"/>
    <w:rsid w:val="00C24A46"/>
    <w:rsid w:val="00C24AC1"/>
    <w:rsid w:val="00C24B2E"/>
    <w:rsid w:val="00C24B8F"/>
    <w:rsid w:val="00C2514F"/>
    <w:rsid w:val="00C256AF"/>
    <w:rsid w:val="00C25783"/>
    <w:rsid w:val="00C25784"/>
    <w:rsid w:val="00C2584C"/>
    <w:rsid w:val="00C25A62"/>
    <w:rsid w:val="00C25A68"/>
    <w:rsid w:val="00C25BD9"/>
    <w:rsid w:val="00C25D03"/>
    <w:rsid w:val="00C25E96"/>
    <w:rsid w:val="00C25EC6"/>
    <w:rsid w:val="00C25F37"/>
    <w:rsid w:val="00C260B2"/>
    <w:rsid w:val="00C263FA"/>
    <w:rsid w:val="00C263FC"/>
    <w:rsid w:val="00C266F4"/>
    <w:rsid w:val="00C26803"/>
    <w:rsid w:val="00C2695E"/>
    <w:rsid w:val="00C269EB"/>
    <w:rsid w:val="00C26A0E"/>
    <w:rsid w:val="00C26B54"/>
    <w:rsid w:val="00C26BD1"/>
    <w:rsid w:val="00C26CC2"/>
    <w:rsid w:val="00C26D59"/>
    <w:rsid w:val="00C26E7D"/>
    <w:rsid w:val="00C26F8E"/>
    <w:rsid w:val="00C2700F"/>
    <w:rsid w:val="00C27013"/>
    <w:rsid w:val="00C270E6"/>
    <w:rsid w:val="00C272AE"/>
    <w:rsid w:val="00C27430"/>
    <w:rsid w:val="00C27639"/>
    <w:rsid w:val="00C2778B"/>
    <w:rsid w:val="00C27819"/>
    <w:rsid w:val="00C27A84"/>
    <w:rsid w:val="00C27AB6"/>
    <w:rsid w:val="00C27B48"/>
    <w:rsid w:val="00C27E01"/>
    <w:rsid w:val="00C27EAB"/>
    <w:rsid w:val="00C27EB7"/>
    <w:rsid w:val="00C30184"/>
    <w:rsid w:val="00C30212"/>
    <w:rsid w:val="00C305ED"/>
    <w:rsid w:val="00C3072C"/>
    <w:rsid w:val="00C30831"/>
    <w:rsid w:val="00C30AA4"/>
    <w:rsid w:val="00C30CC3"/>
    <w:rsid w:val="00C30E85"/>
    <w:rsid w:val="00C30F4F"/>
    <w:rsid w:val="00C30F50"/>
    <w:rsid w:val="00C30FA3"/>
    <w:rsid w:val="00C311AF"/>
    <w:rsid w:val="00C311EB"/>
    <w:rsid w:val="00C31946"/>
    <w:rsid w:val="00C31B75"/>
    <w:rsid w:val="00C31F12"/>
    <w:rsid w:val="00C3250E"/>
    <w:rsid w:val="00C32539"/>
    <w:rsid w:val="00C32A0D"/>
    <w:rsid w:val="00C32A86"/>
    <w:rsid w:val="00C32BFB"/>
    <w:rsid w:val="00C32CAF"/>
    <w:rsid w:val="00C32DE8"/>
    <w:rsid w:val="00C32E65"/>
    <w:rsid w:val="00C32FD0"/>
    <w:rsid w:val="00C33132"/>
    <w:rsid w:val="00C33335"/>
    <w:rsid w:val="00C334EA"/>
    <w:rsid w:val="00C33572"/>
    <w:rsid w:val="00C33579"/>
    <w:rsid w:val="00C335BD"/>
    <w:rsid w:val="00C33866"/>
    <w:rsid w:val="00C33991"/>
    <w:rsid w:val="00C346B5"/>
    <w:rsid w:val="00C348A3"/>
    <w:rsid w:val="00C34968"/>
    <w:rsid w:val="00C349E2"/>
    <w:rsid w:val="00C34CE6"/>
    <w:rsid w:val="00C34D39"/>
    <w:rsid w:val="00C34F71"/>
    <w:rsid w:val="00C350EF"/>
    <w:rsid w:val="00C35603"/>
    <w:rsid w:val="00C35611"/>
    <w:rsid w:val="00C356D4"/>
    <w:rsid w:val="00C35764"/>
    <w:rsid w:val="00C357E4"/>
    <w:rsid w:val="00C358EA"/>
    <w:rsid w:val="00C3591D"/>
    <w:rsid w:val="00C35957"/>
    <w:rsid w:val="00C35958"/>
    <w:rsid w:val="00C35C6C"/>
    <w:rsid w:val="00C35D32"/>
    <w:rsid w:val="00C36343"/>
    <w:rsid w:val="00C363AB"/>
    <w:rsid w:val="00C36535"/>
    <w:rsid w:val="00C368E7"/>
    <w:rsid w:val="00C36AF2"/>
    <w:rsid w:val="00C36B46"/>
    <w:rsid w:val="00C36B4B"/>
    <w:rsid w:val="00C36C1E"/>
    <w:rsid w:val="00C36CAB"/>
    <w:rsid w:val="00C36F75"/>
    <w:rsid w:val="00C37064"/>
    <w:rsid w:val="00C372A7"/>
    <w:rsid w:val="00C3753E"/>
    <w:rsid w:val="00C375CF"/>
    <w:rsid w:val="00C37727"/>
    <w:rsid w:val="00C379AF"/>
    <w:rsid w:val="00C37B63"/>
    <w:rsid w:val="00C37C4B"/>
    <w:rsid w:val="00C37D63"/>
    <w:rsid w:val="00C4025B"/>
    <w:rsid w:val="00C4028A"/>
    <w:rsid w:val="00C402E0"/>
    <w:rsid w:val="00C4054B"/>
    <w:rsid w:val="00C406EC"/>
    <w:rsid w:val="00C40954"/>
    <w:rsid w:val="00C4097E"/>
    <w:rsid w:val="00C409F8"/>
    <w:rsid w:val="00C40BA6"/>
    <w:rsid w:val="00C40BD9"/>
    <w:rsid w:val="00C40DD4"/>
    <w:rsid w:val="00C411C2"/>
    <w:rsid w:val="00C412A9"/>
    <w:rsid w:val="00C41418"/>
    <w:rsid w:val="00C414D3"/>
    <w:rsid w:val="00C416BF"/>
    <w:rsid w:val="00C41C22"/>
    <w:rsid w:val="00C41DF8"/>
    <w:rsid w:val="00C42096"/>
    <w:rsid w:val="00C420F9"/>
    <w:rsid w:val="00C421B7"/>
    <w:rsid w:val="00C4280B"/>
    <w:rsid w:val="00C42AEA"/>
    <w:rsid w:val="00C42B6D"/>
    <w:rsid w:val="00C42B90"/>
    <w:rsid w:val="00C42EB5"/>
    <w:rsid w:val="00C42EF2"/>
    <w:rsid w:val="00C42F73"/>
    <w:rsid w:val="00C4317F"/>
    <w:rsid w:val="00C43190"/>
    <w:rsid w:val="00C431F8"/>
    <w:rsid w:val="00C432D2"/>
    <w:rsid w:val="00C43522"/>
    <w:rsid w:val="00C435EE"/>
    <w:rsid w:val="00C43815"/>
    <w:rsid w:val="00C4384C"/>
    <w:rsid w:val="00C43B43"/>
    <w:rsid w:val="00C43D4D"/>
    <w:rsid w:val="00C43E8E"/>
    <w:rsid w:val="00C4430D"/>
    <w:rsid w:val="00C44907"/>
    <w:rsid w:val="00C44B12"/>
    <w:rsid w:val="00C44E38"/>
    <w:rsid w:val="00C44F06"/>
    <w:rsid w:val="00C45033"/>
    <w:rsid w:val="00C450CB"/>
    <w:rsid w:val="00C45365"/>
    <w:rsid w:val="00C45660"/>
    <w:rsid w:val="00C457A0"/>
    <w:rsid w:val="00C458FC"/>
    <w:rsid w:val="00C45980"/>
    <w:rsid w:val="00C45BF0"/>
    <w:rsid w:val="00C45C2A"/>
    <w:rsid w:val="00C45D64"/>
    <w:rsid w:val="00C45F32"/>
    <w:rsid w:val="00C4641B"/>
    <w:rsid w:val="00C4674B"/>
    <w:rsid w:val="00C46995"/>
    <w:rsid w:val="00C469A7"/>
    <w:rsid w:val="00C46B54"/>
    <w:rsid w:val="00C46D0D"/>
    <w:rsid w:val="00C46F7C"/>
    <w:rsid w:val="00C46FF5"/>
    <w:rsid w:val="00C47043"/>
    <w:rsid w:val="00C472A0"/>
    <w:rsid w:val="00C47446"/>
    <w:rsid w:val="00C474BF"/>
    <w:rsid w:val="00C47B8D"/>
    <w:rsid w:val="00C47CA4"/>
    <w:rsid w:val="00C47EE8"/>
    <w:rsid w:val="00C47F0C"/>
    <w:rsid w:val="00C47F4D"/>
    <w:rsid w:val="00C500F4"/>
    <w:rsid w:val="00C501BD"/>
    <w:rsid w:val="00C50327"/>
    <w:rsid w:val="00C5035A"/>
    <w:rsid w:val="00C5040A"/>
    <w:rsid w:val="00C506DF"/>
    <w:rsid w:val="00C5070C"/>
    <w:rsid w:val="00C50756"/>
    <w:rsid w:val="00C50BA9"/>
    <w:rsid w:val="00C50D82"/>
    <w:rsid w:val="00C50F81"/>
    <w:rsid w:val="00C50F95"/>
    <w:rsid w:val="00C51020"/>
    <w:rsid w:val="00C51081"/>
    <w:rsid w:val="00C510F1"/>
    <w:rsid w:val="00C51331"/>
    <w:rsid w:val="00C51448"/>
    <w:rsid w:val="00C51705"/>
    <w:rsid w:val="00C517E9"/>
    <w:rsid w:val="00C517F3"/>
    <w:rsid w:val="00C51DF7"/>
    <w:rsid w:val="00C51F5A"/>
    <w:rsid w:val="00C5201D"/>
    <w:rsid w:val="00C520A8"/>
    <w:rsid w:val="00C52432"/>
    <w:rsid w:val="00C524C2"/>
    <w:rsid w:val="00C52507"/>
    <w:rsid w:val="00C52651"/>
    <w:rsid w:val="00C527A6"/>
    <w:rsid w:val="00C5289E"/>
    <w:rsid w:val="00C529C2"/>
    <w:rsid w:val="00C52A62"/>
    <w:rsid w:val="00C52CDE"/>
    <w:rsid w:val="00C52CE3"/>
    <w:rsid w:val="00C52ECE"/>
    <w:rsid w:val="00C5310D"/>
    <w:rsid w:val="00C53112"/>
    <w:rsid w:val="00C53201"/>
    <w:rsid w:val="00C532ED"/>
    <w:rsid w:val="00C53316"/>
    <w:rsid w:val="00C53509"/>
    <w:rsid w:val="00C53640"/>
    <w:rsid w:val="00C538E6"/>
    <w:rsid w:val="00C53A40"/>
    <w:rsid w:val="00C53B4D"/>
    <w:rsid w:val="00C53D36"/>
    <w:rsid w:val="00C53D78"/>
    <w:rsid w:val="00C53DCA"/>
    <w:rsid w:val="00C53EFD"/>
    <w:rsid w:val="00C5445A"/>
    <w:rsid w:val="00C5448F"/>
    <w:rsid w:val="00C544C6"/>
    <w:rsid w:val="00C544C8"/>
    <w:rsid w:val="00C54899"/>
    <w:rsid w:val="00C54997"/>
    <w:rsid w:val="00C54A0A"/>
    <w:rsid w:val="00C54C53"/>
    <w:rsid w:val="00C54CD2"/>
    <w:rsid w:val="00C54CDD"/>
    <w:rsid w:val="00C54D17"/>
    <w:rsid w:val="00C55196"/>
    <w:rsid w:val="00C55370"/>
    <w:rsid w:val="00C55624"/>
    <w:rsid w:val="00C556F2"/>
    <w:rsid w:val="00C55890"/>
    <w:rsid w:val="00C55984"/>
    <w:rsid w:val="00C55A2D"/>
    <w:rsid w:val="00C55B75"/>
    <w:rsid w:val="00C55BF8"/>
    <w:rsid w:val="00C55C71"/>
    <w:rsid w:val="00C55CAF"/>
    <w:rsid w:val="00C55DCC"/>
    <w:rsid w:val="00C55FB7"/>
    <w:rsid w:val="00C5600F"/>
    <w:rsid w:val="00C56043"/>
    <w:rsid w:val="00C563D6"/>
    <w:rsid w:val="00C5644A"/>
    <w:rsid w:val="00C56863"/>
    <w:rsid w:val="00C568E5"/>
    <w:rsid w:val="00C569C9"/>
    <w:rsid w:val="00C56ABE"/>
    <w:rsid w:val="00C56CAC"/>
    <w:rsid w:val="00C56D1C"/>
    <w:rsid w:val="00C56E37"/>
    <w:rsid w:val="00C56FB9"/>
    <w:rsid w:val="00C57088"/>
    <w:rsid w:val="00C57274"/>
    <w:rsid w:val="00C57320"/>
    <w:rsid w:val="00C5739C"/>
    <w:rsid w:val="00C575BE"/>
    <w:rsid w:val="00C57913"/>
    <w:rsid w:val="00C57A3F"/>
    <w:rsid w:val="00C57C4F"/>
    <w:rsid w:val="00C57CF7"/>
    <w:rsid w:val="00C57D0F"/>
    <w:rsid w:val="00C57EA0"/>
    <w:rsid w:val="00C57F7D"/>
    <w:rsid w:val="00C57FD0"/>
    <w:rsid w:val="00C601B8"/>
    <w:rsid w:val="00C6025E"/>
    <w:rsid w:val="00C603C8"/>
    <w:rsid w:val="00C60433"/>
    <w:rsid w:val="00C606FF"/>
    <w:rsid w:val="00C60817"/>
    <w:rsid w:val="00C60994"/>
    <w:rsid w:val="00C609B9"/>
    <w:rsid w:val="00C60AA4"/>
    <w:rsid w:val="00C60F79"/>
    <w:rsid w:val="00C611BA"/>
    <w:rsid w:val="00C61540"/>
    <w:rsid w:val="00C616BC"/>
    <w:rsid w:val="00C6177A"/>
    <w:rsid w:val="00C61AB4"/>
    <w:rsid w:val="00C61EC7"/>
    <w:rsid w:val="00C61F32"/>
    <w:rsid w:val="00C620DC"/>
    <w:rsid w:val="00C62120"/>
    <w:rsid w:val="00C621D5"/>
    <w:rsid w:val="00C621ED"/>
    <w:rsid w:val="00C621F4"/>
    <w:rsid w:val="00C62211"/>
    <w:rsid w:val="00C622C2"/>
    <w:rsid w:val="00C624AA"/>
    <w:rsid w:val="00C624C3"/>
    <w:rsid w:val="00C6260A"/>
    <w:rsid w:val="00C629A9"/>
    <w:rsid w:val="00C62AE6"/>
    <w:rsid w:val="00C62C16"/>
    <w:rsid w:val="00C62C59"/>
    <w:rsid w:val="00C62CCB"/>
    <w:rsid w:val="00C63022"/>
    <w:rsid w:val="00C630A9"/>
    <w:rsid w:val="00C63208"/>
    <w:rsid w:val="00C63363"/>
    <w:rsid w:val="00C63391"/>
    <w:rsid w:val="00C634F3"/>
    <w:rsid w:val="00C635AE"/>
    <w:rsid w:val="00C635C1"/>
    <w:rsid w:val="00C63758"/>
    <w:rsid w:val="00C63B49"/>
    <w:rsid w:val="00C63B7A"/>
    <w:rsid w:val="00C63BB9"/>
    <w:rsid w:val="00C63E13"/>
    <w:rsid w:val="00C63E48"/>
    <w:rsid w:val="00C6400B"/>
    <w:rsid w:val="00C64230"/>
    <w:rsid w:val="00C643AF"/>
    <w:rsid w:val="00C6446B"/>
    <w:rsid w:val="00C64551"/>
    <w:rsid w:val="00C6461D"/>
    <w:rsid w:val="00C647C6"/>
    <w:rsid w:val="00C6485D"/>
    <w:rsid w:val="00C6486B"/>
    <w:rsid w:val="00C64AA2"/>
    <w:rsid w:val="00C64E8D"/>
    <w:rsid w:val="00C65089"/>
    <w:rsid w:val="00C652CD"/>
    <w:rsid w:val="00C6531C"/>
    <w:rsid w:val="00C65491"/>
    <w:rsid w:val="00C65894"/>
    <w:rsid w:val="00C65B2B"/>
    <w:rsid w:val="00C65B48"/>
    <w:rsid w:val="00C65CCF"/>
    <w:rsid w:val="00C65D22"/>
    <w:rsid w:val="00C65EAE"/>
    <w:rsid w:val="00C663E3"/>
    <w:rsid w:val="00C6645B"/>
    <w:rsid w:val="00C6679E"/>
    <w:rsid w:val="00C667A2"/>
    <w:rsid w:val="00C667FF"/>
    <w:rsid w:val="00C6694B"/>
    <w:rsid w:val="00C66A20"/>
    <w:rsid w:val="00C66B25"/>
    <w:rsid w:val="00C66B99"/>
    <w:rsid w:val="00C66EE8"/>
    <w:rsid w:val="00C66F39"/>
    <w:rsid w:val="00C67100"/>
    <w:rsid w:val="00C6737A"/>
    <w:rsid w:val="00C6769C"/>
    <w:rsid w:val="00C67943"/>
    <w:rsid w:val="00C6799E"/>
    <w:rsid w:val="00C67BCE"/>
    <w:rsid w:val="00C67D08"/>
    <w:rsid w:val="00C67D49"/>
    <w:rsid w:val="00C67D9E"/>
    <w:rsid w:val="00C67DBC"/>
    <w:rsid w:val="00C67E2B"/>
    <w:rsid w:val="00C7009E"/>
    <w:rsid w:val="00C701A2"/>
    <w:rsid w:val="00C7041C"/>
    <w:rsid w:val="00C704B8"/>
    <w:rsid w:val="00C7063A"/>
    <w:rsid w:val="00C7076D"/>
    <w:rsid w:val="00C70AB7"/>
    <w:rsid w:val="00C70BAF"/>
    <w:rsid w:val="00C70DEF"/>
    <w:rsid w:val="00C70EBF"/>
    <w:rsid w:val="00C70F1B"/>
    <w:rsid w:val="00C70FC5"/>
    <w:rsid w:val="00C71021"/>
    <w:rsid w:val="00C710B5"/>
    <w:rsid w:val="00C7118D"/>
    <w:rsid w:val="00C71195"/>
    <w:rsid w:val="00C7134B"/>
    <w:rsid w:val="00C714EF"/>
    <w:rsid w:val="00C7155F"/>
    <w:rsid w:val="00C71605"/>
    <w:rsid w:val="00C71A6D"/>
    <w:rsid w:val="00C71C72"/>
    <w:rsid w:val="00C71D87"/>
    <w:rsid w:val="00C720CB"/>
    <w:rsid w:val="00C7228E"/>
    <w:rsid w:val="00C7240F"/>
    <w:rsid w:val="00C727B5"/>
    <w:rsid w:val="00C72893"/>
    <w:rsid w:val="00C72B71"/>
    <w:rsid w:val="00C72C64"/>
    <w:rsid w:val="00C72E42"/>
    <w:rsid w:val="00C72F3D"/>
    <w:rsid w:val="00C730CA"/>
    <w:rsid w:val="00C732F8"/>
    <w:rsid w:val="00C7337A"/>
    <w:rsid w:val="00C734EB"/>
    <w:rsid w:val="00C735BE"/>
    <w:rsid w:val="00C73607"/>
    <w:rsid w:val="00C7372B"/>
    <w:rsid w:val="00C73A78"/>
    <w:rsid w:val="00C73B88"/>
    <w:rsid w:val="00C73BC0"/>
    <w:rsid w:val="00C73BC1"/>
    <w:rsid w:val="00C73D56"/>
    <w:rsid w:val="00C74056"/>
    <w:rsid w:val="00C74112"/>
    <w:rsid w:val="00C74284"/>
    <w:rsid w:val="00C7431C"/>
    <w:rsid w:val="00C74554"/>
    <w:rsid w:val="00C74658"/>
    <w:rsid w:val="00C74784"/>
    <w:rsid w:val="00C74804"/>
    <w:rsid w:val="00C748A3"/>
    <w:rsid w:val="00C74940"/>
    <w:rsid w:val="00C74A27"/>
    <w:rsid w:val="00C74B10"/>
    <w:rsid w:val="00C74D06"/>
    <w:rsid w:val="00C74E33"/>
    <w:rsid w:val="00C74F42"/>
    <w:rsid w:val="00C74FFC"/>
    <w:rsid w:val="00C75195"/>
    <w:rsid w:val="00C752B6"/>
    <w:rsid w:val="00C7532A"/>
    <w:rsid w:val="00C75351"/>
    <w:rsid w:val="00C755A0"/>
    <w:rsid w:val="00C75854"/>
    <w:rsid w:val="00C75ECB"/>
    <w:rsid w:val="00C76004"/>
    <w:rsid w:val="00C76170"/>
    <w:rsid w:val="00C762B5"/>
    <w:rsid w:val="00C76604"/>
    <w:rsid w:val="00C7670C"/>
    <w:rsid w:val="00C767E9"/>
    <w:rsid w:val="00C7683E"/>
    <w:rsid w:val="00C76941"/>
    <w:rsid w:val="00C769CA"/>
    <w:rsid w:val="00C76A44"/>
    <w:rsid w:val="00C76B6A"/>
    <w:rsid w:val="00C76BA4"/>
    <w:rsid w:val="00C76D28"/>
    <w:rsid w:val="00C76E0B"/>
    <w:rsid w:val="00C76EA9"/>
    <w:rsid w:val="00C76EDC"/>
    <w:rsid w:val="00C76FD8"/>
    <w:rsid w:val="00C77068"/>
    <w:rsid w:val="00C770C4"/>
    <w:rsid w:val="00C7724C"/>
    <w:rsid w:val="00C77281"/>
    <w:rsid w:val="00C77308"/>
    <w:rsid w:val="00C7742D"/>
    <w:rsid w:val="00C7755C"/>
    <w:rsid w:val="00C77CBE"/>
    <w:rsid w:val="00C77DE8"/>
    <w:rsid w:val="00C77FC2"/>
    <w:rsid w:val="00C80102"/>
    <w:rsid w:val="00C80163"/>
    <w:rsid w:val="00C801FF"/>
    <w:rsid w:val="00C80201"/>
    <w:rsid w:val="00C80373"/>
    <w:rsid w:val="00C8039C"/>
    <w:rsid w:val="00C80625"/>
    <w:rsid w:val="00C807A2"/>
    <w:rsid w:val="00C80AF7"/>
    <w:rsid w:val="00C80C01"/>
    <w:rsid w:val="00C80C33"/>
    <w:rsid w:val="00C80D0C"/>
    <w:rsid w:val="00C80E60"/>
    <w:rsid w:val="00C80EEC"/>
    <w:rsid w:val="00C810B5"/>
    <w:rsid w:val="00C812C0"/>
    <w:rsid w:val="00C814D1"/>
    <w:rsid w:val="00C81C9F"/>
    <w:rsid w:val="00C81CA8"/>
    <w:rsid w:val="00C81D03"/>
    <w:rsid w:val="00C82166"/>
    <w:rsid w:val="00C822D2"/>
    <w:rsid w:val="00C8246B"/>
    <w:rsid w:val="00C82932"/>
    <w:rsid w:val="00C82C2F"/>
    <w:rsid w:val="00C82CF9"/>
    <w:rsid w:val="00C82E59"/>
    <w:rsid w:val="00C82F5F"/>
    <w:rsid w:val="00C8349B"/>
    <w:rsid w:val="00C83543"/>
    <w:rsid w:val="00C83587"/>
    <w:rsid w:val="00C835FC"/>
    <w:rsid w:val="00C83BA2"/>
    <w:rsid w:val="00C83DCC"/>
    <w:rsid w:val="00C84208"/>
    <w:rsid w:val="00C843EF"/>
    <w:rsid w:val="00C8447F"/>
    <w:rsid w:val="00C84729"/>
    <w:rsid w:val="00C84989"/>
    <w:rsid w:val="00C84C66"/>
    <w:rsid w:val="00C84C70"/>
    <w:rsid w:val="00C84CE0"/>
    <w:rsid w:val="00C84DE7"/>
    <w:rsid w:val="00C851E9"/>
    <w:rsid w:val="00C8521E"/>
    <w:rsid w:val="00C8537D"/>
    <w:rsid w:val="00C8537E"/>
    <w:rsid w:val="00C85559"/>
    <w:rsid w:val="00C85A4D"/>
    <w:rsid w:val="00C85B63"/>
    <w:rsid w:val="00C85C57"/>
    <w:rsid w:val="00C85EF2"/>
    <w:rsid w:val="00C85F29"/>
    <w:rsid w:val="00C86022"/>
    <w:rsid w:val="00C862EF"/>
    <w:rsid w:val="00C867FE"/>
    <w:rsid w:val="00C86A72"/>
    <w:rsid w:val="00C86C97"/>
    <w:rsid w:val="00C86E6C"/>
    <w:rsid w:val="00C8701B"/>
    <w:rsid w:val="00C870D8"/>
    <w:rsid w:val="00C87301"/>
    <w:rsid w:val="00C8753D"/>
    <w:rsid w:val="00C875A2"/>
    <w:rsid w:val="00C87700"/>
    <w:rsid w:val="00C87878"/>
    <w:rsid w:val="00C87B00"/>
    <w:rsid w:val="00C87B3D"/>
    <w:rsid w:val="00C87D29"/>
    <w:rsid w:val="00C87ED7"/>
    <w:rsid w:val="00C87F93"/>
    <w:rsid w:val="00C9024C"/>
    <w:rsid w:val="00C903AF"/>
    <w:rsid w:val="00C904F1"/>
    <w:rsid w:val="00C90660"/>
    <w:rsid w:val="00C90801"/>
    <w:rsid w:val="00C90892"/>
    <w:rsid w:val="00C90B47"/>
    <w:rsid w:val="00C90B63"/>
    <w:rsid w:val="00C90C41"/>
    <w:rsid w:val="00C90D68"/>
    <w:rsid w:val="00C90DBC"/>
    <w:rsid w:val="00C90F40"/>
    <w:rsid w:val="00C90F59"/>
    <w:rsid w:val="00C90F9B"/>
    <w:rsid w:val="00C90FAF"/>
    <w:rsid w:val="00C9101E"/>
    <w:rsid w:val="00C91098"/>
    <w:rsid w:val="00C910EC"/>
    <w:rsid w:val="00C9131C"/>
    <w:rsid w:val="00C9164F"/>
    <w:rsid w:val="00C91B04"/>
    <w:rsid w:val="00C91C16"/>
    <w:rsid w:val="00C91E7A"/>
    <w:rsid w:val="00C91F96"/>
    <w:rsid w:val="00C92271"/>
    <w:rsid w:val="00C924A4"/>
    <w:rsid w:val="00C925B4"/>
    <w:rsid w:val="00C9270F"/>
    <w:rsid w:val="00C927FE"/>
    <w:rsid w:val="00C928C2"/>
    <w:rsid w:val="00C92A36"/>
    <w:rsid w:val="00C92C80"/>
    <w:rsid w:val="00C92FDA"/>
    <w:rsid w:val="00C935B3"/>
    <w:rsid w:val="00C938D5"/>
    <w:rsid w:val="00C9398B"/>
    <w:rsid w:val="00C93A24"/>
    <w:rsid w:val="00C93B8B"/>
    <w:rsid w:val="00C93D0B"/>
    <w:rsid w:val="00C93E0C"/>
    <w:rsid w:val="00C93F9F"/>
    <w:rsid w:val="00C94385"/>
    <w:rsid w:val="00C9442C"/>
    <w:rsid w:val="00C94567"/>
    <w:rsid w:val="00C94677"/>
    <w:rsid w:val="00C94691"/>
    <w:rsid w:val="00C94741"/>
    <w:rsid w:val="00C94817"/>
    <w:rsid w:val="00C94AE8"/>
    <w:rsid w:val="00C94CF1"/>
    <w:rsid w:val="00C94D63"/>
    <w:rsid w:val="00C94FDC"/>
    <w:rsid w:val="00C951D4"/>
    <w:rsid w:val="00C9540E"/>
    <w:rsid w:val="00C95525"/>
    <w:rsid w:val="00C9552E"/>
    <w:rsid w:val="00C95541"/>
    <w:rsid w:val="00C9569A"/>
    <w:rsid w:val="00C9596D"/>
    <w:rsid w:val="00C95A0B"/>
    <w:rsid w:val="00C95CAF"/>
    <w:rsid w:val="00C95D18"/>
    <w:rsid w:val="00C95D3E"/>
    <w:rsid w:val="00C95E9F"/>
    <w:rsid w:val="00C960BB"/>
    <w:rsid w:val="00C960BD"/>
    <w:rsid w:val="00C960D6"/>
    <w:rsid w:val="00C966CE"/>
    <w:rsid w:val="00C967A1"/>
    <w:rsid w:val="00C967BD"/>
    <w:rsid w:val="00C967FF"/>
    <w:rsid w:val="00C969E0"/>
    <w:rsid w:val="00C96A29"/>
    <w:rsid w:val="00C96A70"/>
    <w:rsid w:val="00C96AEE"/>
    <w:rsid w:val="00C96E08"/>
    <w:rsid w:val="00C96F0B"/>
    <w:rsid w:val="00C972C1"/>
    <w:rsid w:val="00C9730F"/>
    <w:rsid w:val="00C97698"/>
    <w:rsid w:val="00C9778F"/>
    <w:rsid w:val="00C97939"/>
    <w:rsid w:val="00C9796A"/>
    <w:rsid w:val="00C97978"/>
    <w:rsid w:val="00C97AC1"/>
    <w:rsid w:val="00C97B88"/>
    <w:rsid w:val="00C97E7F"/>
    <w:rsid w:val="00CA00AD"/>
    <w:rsid w:val="00CA01FE"/>
    <w:rsid w:val="00CA0243"/>
    <w:rsid w:val="00CA028D"/>
    <w:rsid w:val="00CA02BC"/>
    <w:rsid w:val="00CA043E"/>
    <w:rsid w:val="00CA0552"/>
    <w:rsid w:val="00CA06E8"/>
    <w:rsid w:val="00CA0872"/>
    <w:rsid w:val="00CA0910"/>
    <w:rsid w:val="00CA095F"/>
    <w:rsid w:val="00CA0A2E"/>
    <w:rsid w:val="00CA0A49"/>
    <w:rsid w:val="00CA0B08"/>
    <w:rsid w:val="00CA0DA9"/>
    <w:rsid w:val="00CA0FA8"/>
    <w:rsid w:val="00CA1553"/>
    <w:rsid w:val="00CA16EC"/>
    <w:rsid w:val="00CA171D"/>
    <w:rsid w:val="00CA1BF7"/>
    <w:rsid w:val="00CA1FC6"/>
    <w:rsid w:val="00CA224D"/>
    <w:rsid w:val="00CA23A0"/>
    <w:rsid w:val="00CA2789"/>
    <w:rsid w:val="00CA278A"/>
    <w:rsid w:val="00CA2832"/>
    <w:rsid w:val="00CA294B"/>
    <w:rsid w:val="00CA2C7B"/>
    <w:rsid w:val="00CA2CCA"/>
    <w:rsid w:val="00CA2E4D"/>
    <w:rsid w:val="00CA3088"/>
    <w:rsid w:val="00CA3292"/>
    <w:rsid w:val="00CA346B"/>
    <w:rsid w:val="00CA360A"/>
    <w:rsid w:val="00CA368C"/>
    <w:rsid w:val="00CA377C"/>
    <w:rsid w:val="00CA38D3"/>
    <w:rsid w:val="00CA3C08"/>
    <w:rsid w:val="00CA3C48"/>
    <w:rsid w:val="00CA3F42"/>
    <w:rsid w:val="00CA3FBC"/>
    <w:rsid w:val="00CA3FC6"/>
    <w:rsid w:val="00CA4052"/>
    <w:rsid w:val="00CA40E2"/>
    <w:rsid w:val="00CA41C3"/>
    <w:rsid w:val="00CA4314"/>
    <w:rsid w:val="00CA435B"/>
    <w:rsid w:val="00CA4573"/>
    <w:rsid w:val="00CA4598"/>
    <w:rsid w:val="00CA47D1"/>
    <w:rsid w:val="00CA481D"/>
    <w:rsid w:val="00CA488A"/>
    <w:rsid w:val="00CA5007"/>
    <w:rsid w:val="00CA50CA"/>
    <w:rsid w:val="00CA536D"/>
    <w:rsid w:val="00CA5723"/>
    <w:rsid w:val="00CA5781"/>
    <w:rsid w:val="00CA5A01"/>
    <w:rsid w:val="00CA5A07"/>
    <w:rsid w:val="00CA5B31"/>
    <w:rsid w:val="00CA5BE9"/>
    <w:rsid w:val="00CA5BF1"/>
    <w:rsid w:val="00CA5C4E"/>
    <w:rsid w:val="00CA5C97"/>
    <w:rsid w:val="00CA5CF4"/>
    <w:rsid w:val="00CA5E8B"/>
    <w:rsid w:val="00CA61B8"/>
    <w:rsid w:val="00CA63B2"/>
    <w:rsid w:val="00CA645C"/>
    <w:rsid w:val="00CA694A"/>
    <w:rsid w:val="00CA6955"/>
    <w:rsid w:val="00CA69C4"/>
    <w:rsid w:val="00CA6D88"/>
    <w:rsid w:val="00CA6DDB"/>
    <w:rsid w:val="00CA6F99"/>
    <w:rsid w:val="00CA6F9C"/>
    <w:rsid w:val="00CA72E1"/>
    <w:rsid w:val="00CA7397"/>
    <w:rsid w:val="00CA748B"/>
    <w:rsid w:val="00CA781C"/>
    <w:rsid w:val="00CA7912"/>
    <w:rsid w:val="00CA799F"/>
    <w:rsid w:val="00CA7A39"/>
    <w:rsid w:val="00CA7A3A"/>
    <w:rsid w:val="00CA7A64"/>
    <w:rsid w:val="00CA7A75"/>
    <w:rsid w:val="00CA7A8E"/>
    <w:rsid w:val="00CA7B86"/>
    <w:rsid w:val="00CA7BCC"/>
    <w:rsid w:val="00CA7C76"/>
    <w:rsid w:val="00CA7E54"/>
    <w:rsid w:val="00CA7F15"/>
    <w:rsid w:val="00CB0129"/>
    <w:rsid w:val="00CB0157"/>
    <w:rsid w:val="00CB046F"/>
    <w:rsid w:val="00CB0504"/>
    <w:rsid w:val="00CB083E"/>
    <w:rsid w:val="00CB086B"/>
    <w:rsid w:val="00CB09EB"/>
    <w:rsid w:val="00CB0C83"/>
    <w:rsid w:val="00CB0CBC"/>
    <w:rsid w:val="00CB0D2B"/>
    <w:rsid w:val="00CB0FDE"/>
    <w:rsid w:val="00CB101F"/>
    <w:rsid w:val="00CB1152"/>
    <w:rsid w:val="00CB1267"/>
    <w:rsid w:val="00CB1360"/>
    <w:rsid w:val="00CB13F8"/>
    <w:rsid w:val="00CB1644"/>
    <w:rsid w:val="00CB1AA7"/>
    <w:rsid w:val="00CB1CE6"/>
    <w:rsid w:val="00CB1CEF"/>
    <w:rsid w:val="00CB1F34"/>
    <w:rsid w:val="00CB203A"/>
    <w:rsid w:val="00CB2209"/>
    <w:rsid w:val="00CB23EC"/>
    <w:rsid w:val="00CB24A7"/>
    <w:rsid w:val="00CB25FA"/>
    <w:rsid w:val="00CB276B"/>
    <w:rsid w:val="00CB27E4"/>
    <w:rsid w:val="00CB294A"/>
    <w:rsid w:val="00CB2A62"/>
    <w:rsid w:val="00CB2B6D"/>
    <w:rsid w:val="00CB2B95"/>
    <w:rsid w:val="00CB2CF9"/>
    <w:rsid w:val="00CB30C9"/>
    <w:rsid w:val="00CB30F9"/>
    <w:rsid w:val="00CB3269"/>
    <w:rsid w:val="00CB330D"/>
    <w:rsid w:val="00CB3347"/>
    <w:rsid w:val="00CB34E2"/>
    <w:rsid w:val="00CB3707"/>
    <w:rsid w:val="00CB385E"/>
    <w:rsid w:val="00CB3912"/>
    <w:rsid w:val="00CB3A39"/>
    <w:rsid w:val="00CB3D4F"/>
    <w:rsid w:val="00CB3FC3"/>
    <w:rsid w:val="00CB3FF3"/>
    <w:rsid w:val="00CB4067"/>
    <w:rsid w:val="00CB42C2"/>
    <w:rsid w:val="00CB42F5"/>
    <w:rsid w:val="00CB43F9"/>
    <w:rsid w:val="00CB45FA"/>
    <w:rsid w:val="00CB4A5F"/>
    <w:rsid w:val="00CB4B13"/>
    <w:rsid w:val="00CB4BE6"/>
    <w:rsid w:val="00CB4C2E"/>
    <w:rsid w:val="00CB4DC3"/>
    <w:rsid w:val="00CB4E16"/>
    <w:rsid w:val="00CB4EF2"/>
    <w:rsid w:val="00CB50C3"/>
    <w:rsid w:val="00CB514B"/>
    <w:rsid w:val="00CB5199"/>
    <w:rsid w:val="00CB51C3"/>
    <w:rsid w:val="00CB5212"/>
    <w:rsid w:val="00CB54A9"/>
    <w:rsid w:val="00CB591E"/>
    <w:rsid w:val="00CB59BB"/>
    <w:rsid w:val="00CB5BA8"/>
    <w:rsid w:val="00CB5F3C"/>
    <w:rsid w:val="00CB5F92"/>
    <w:rsid w:val="00CB6090"/>
    <w:rsid w:val="00CB6113"/>
    <w:rsid w:val="00CB6225"/>
    <w:rsid w:val="00CB62A2"/>
    <w:rsid w:val="00CB6348"/>
    <w:rsid w:val="00CB63CF"/>
    <w:rsid w:val="00CB6447"/>
    <w:rsid w:val="00CB651C"/>
    <w:rsid w:val="00CB6694"/>
    <w:rsid w:val="00CB6855"/>
    <w:rsid w:val="00CB6944"/>
    <w:rsid w:val="00CB6A78"/>
    <w:rsid w:val="00CB6C7F"/>
    <w:rsid w:val="00CB6C85"/>
    <w:rsid w:val="00CB6C97"/>
    <w:rsid w:val="00CB6F82"/>
    <w:rsid w:val="00CB70EB"/>
    <w:rsid w:val="00CB73D0"/>
    <w:rsid w:val="00CB74F1"/>
    <w:rsid w:val="00CB7609"/>
    <w:rsid w:val="00CB7719"/>
    <w:rsid w:val="00CB7935"/>
    <w:rsid w:val="00CB7B5A"/>
    <w:rsid w:val="00CB7C11"/>
    <w:rsid w:val="00CB7DE4"/>
    <w:rsid w:val="00CC003F"/>
    <w:rsid w:val="00CC00C1"/>
    <w:rsid w:val="00CC0190"/>
    <w:rsid w:val="00CC0211"/>
    <w:rsid w:val="00CC021A"/>
    <w:rsid w:val="00CC0320"/>
    <w:rsid w:val="00CC040D"/>
    <w:rsid w:val="00CC060F"/>
    <w:rsid w:val="00CC0676"/>
    <w:rsid w:val="00CC07AC"/>
    <w:rsid w:val="00CC0950"/>
    <w:rsid w:val="00CC0998"/>
    <w:rsid w:val="00CC0A14"/>
    <w:rsid w:val="00CC0B63"/>
    <w:rsid w:val="00CC0BA9"/>
    <w:rsid w:val="00CC0E4D"/>
    <w:rsid w:val="00CC0ECA"/>
    <w:rsid w:val="00CC0FF0"/>
    <w:rsid w:val="00CC1443"/>
    <w:rsid w:val="00CC165F"/>
    <w:rsid w:val="00CC171A"/>
    <w:rsid w:val="00CC1A7F"/>
    <w:rsid w:val="00CC1B4B"/>
    <w:rsid w:val="00CC1C21"/>
    <w:rsid w:val="00CC1E95"/>
    <w:rsid w:val="00CC1E99"/>
    <w:rsid w:val="00CC22F0"/>
    <w:rsid w:val="00CC24B6"/>
    <w:rsid w:val="00CC2785"/>
    <w:rsid w:val="00CC2A9D"/>
    <w:rsid w:val="00CC2BDF"/>
    <w:rsid w:val="00CC2C71"/>
    <w:rsid w:val="00CC2CA1"/>
    <w:rsid w:val="00CC2CE8"/>
    <w:rsid w:val="00CC2E7D"/>
    <w:rsid w:val="00CC2FF9"/>
    <w:rsid w:val="00CC30B9"/>
    <w:rsid w:val="00CC310B"/>
    <w:rsid w:val="00CC32D9"/>
    <w:rsid w:val="00CC3319"/>
    <w:rsid w:val="00CC35D9"/>
    <w:rsid w:val="00CC3664"/>
    <w:rsid w:val="00CC38D8"/>
    <w:rsid w:val="00CC3ADB"/>
    <w:rsid w:val="00CC3EB9"/>
    <w:rsid w:val="00CC4047"/>
    <w:rsid w:val="00CC45AC"/>
    <w:rsid w:val="00CC4654"/>
    <w:rsid w:val="00CC46B9"/>
    <w:rsid w:val="00CC4797"/>
    <w:rsid w:val="00CC49C8"/>
    <w:rsid w:val="00CC4AA5"/>
    <w:rsid w:val="00CC4CD7"/>
    <w:rsid w:val="00CC4E21"/>
    <w:rsid w:val="00CC4FC9"/>
    <w:rsid w:val="00CC503E"/>
    <w:rsid w:val="00CC513E"/>
    <w:rsid w:val="00CC51A8"/>
    <w:rsid w:val="00CC5275"/>
    <w:rsid w:val="00CC5431"/>
    <w:rsid w:val="00CC5466"/>
    <w:rsid w:val="00CC5710"/>
    <w:rsid w:val="00CC5A8C"/>
    <w:rsid w:val="00CC5BE3"/>
    <w:rsid w:val="00CC5CE6"/>
    <w:rsid w:val="00CC5D66"/>
    <w:rsid w:val="00CC5D6A"/>
    <w:rsid w:val="00CC5F17"/>
    <w:rsid w:val="00CC60AE"/>
    <w:rsid w:val="00CC6208"/>
    <w:rsid w:val="00CC64F3"/>
    <w:rsid w:val="00CC653C"/>
    <w:rsid w:val="00CC665A"/>
    <w:rsid w:val="00CC6754"/>
    <w:rsid w:val="00CC69DA"/>
    <w:rsid w:val="00CC6B15"/>
    <w:rsid w:val="00CC6B6E"/>
    <w:rsid w:val="00CC6C1C"/>
    <w:rsid w:val="00CC6DF1"/>
    <w:rsid w:val="00CC722F"/>
    <w:rsid w:val="00CC72A2"/>
    <w:rsid w:val="00CC736E"/>
    <w:rsid w:val="00CC7376"/>
    <w:rsid w:val="00CC757F"/>
    <w:rsid w:val="00CC782E"/>
    <w:rsid w:val="00CC79D3"/>
    <w:rsid w:val="00CC7A8B"/>
    <w:rsid w:val="00CC7D33"/>
    <w:rsid w:val="00CC7F2E"/>
    <w:rsid w:val="00CC7F41"/>
    <w:rsid w:val="00CD004E"/>
    <w:rsid w:val="00CD038B"/>
    <w:rsid w:val="00CD0588"/>
    <w:rsid w:val="00CD0626"/>
    <w:rsid w:val="00CD0637"/>
    <w:rsid w:val="00CD06ED"/>
    <w:rsid w:val="00CD0706"/>
    <w:rsid w:val="00CD08DC"/>
    <w:rsid w:val="00CD090D"/>
    <w:rsid w:val="00CD094F"/>
    <w:rsid w:val="00CD09DF"/>
    <w:rsid w:val="00CD0B04"/>
    <w:rsid w:val="00CD0CAE"/>
    <w:rsid w:val="00CD0D23"/>
    <w:rsid w:val="00CD0D86"/>
    <w:rsid w:val="00CD0E31"/>
    <w:rsid w:val="00CD0EFA"/>
    <w:rsid w:val="00CD0F7F"/>
    <w:rsid w:val="00CD100E"/>
    <w:rsid w:val="00CD128C"/>
    <w:rsid w:val="00CD12FE"/>
    <w:rsid w:val="00CD135E"/>
    <w:rsid w:val="00CD13DD"/>
    <w:rsid w:val="00CD1750"/>
    <w:rsid w:val="00CD1854"/>
    <w:rsid w:val="00CD18FC"/>
    <w:rsid w:val="00CD19C3"/>
    <w:rsid w:val="00CD1B20"/>
    <w:rsid w:val="00CD1C39"/>
    <w:rsid w:val="00CD1E57"/>
    <w:rsid w:val="00CD1F4B"/>
    <w:rsid w:val="00CD1FB8"/>
    <w:rsid w:val="00CD2179"/>
    <w:rsid w:val="00CD2399"/>
    <w:rsid w:val="00CD2698"/>
    <w:rsid w:val="00CD27A2"/>
    <w:rsid w:val="00CD281C"/>
    <w:rsid w:val="00CD2BA1"/>
    <w:rsid w:val="00CD2D31"/>
    <w:rsid w:val="00CD3229"/>
    <w:rsid w:val="00CD3250"/>
    <w:rsid w:val="00CD346C"/>
    <w:rsid w:val="00CD35DD"/>
    <w:rsid w:val="00CD36E8"/>
    <w:rsid w:val="00CD372F"/>
    <w:rsid w:val="00CD3775"/>
    <w:rsid w:val="00CD3AC9"/>
    <w:rsid w:val="00CD3B42"/>
    <w:rsid w:val="00CD3CA1"/>
    <w:rsid w:val="00CD3D77"/>
    <w:rsid w:val="00CD4290"/>
    <w:rsid w:val="00CD42E2"/>
    <w:rsid w:val="00CD4327"/>
    <w:rsid w:val="00CD4732"/>
    <w:rsid w:val="00CD48E9"/>
    <w:rsid w:val="00CD4A70"/>
    <w:rsid w:val="00CD4AAC"/>
    <w:rsid w:val="00CD4CD2"/>
    <w:rsid w:val="00CD4D34"/>
    <w:rsid w:val="00CD4E5F"/>
    <w:rsid w:val="00CD4E84"/>
    <w:rsid w:val="00CD5417"/>
    <w:rsid w:val="00CD556F"/>
    <w:rsid w:val="00CD55E8"/>
    <w:rsid w:val="00CD563D"/>
    <w:rsid w:val="00CD585E"/>
    <w:rsid w:val="00CD5DE6"/>
    <w:rsid w:val="00CD5E06"/>
    <w:rsid w:val="00CD605D"/>
    <w:rsid w:val="00CD61E6"/>
    <w:rsid w:val="00CD62A9"/>
    <w:rsid w:val="00CD6345"/>
    <w:rsid w:val="00CD63FF"/>
    <w:rsid w:val="00CD655F"/>
    <w:rsid w:val="00CD658B"/>
    <w:rsid w:val="00CD6673"/>
    <w:rsid w:val="00CD6797"/>
    <w:rsid w:val="00CD684D"/>
    <w:rsid w:val="00CD68F4"/>
    <w:rsid w:val="00CD6910"/>
    <w:rsid w:val="00CD6AAC"/>
    <w:rsid w:val="00CD6B81"/>
    <w:rsid w:val="00CD6FA9"/>
    <w:rsid w:val="00CD755C"/>
    <w:rsid w:val="00CD76B8"/>
    <w:rsid w:val="00CD7999"/>
    <w:rsid w:val="00CD7E70"/>
    <w:rsid w:val="00CE0029"/>
    <w:rsid w:val="00CE004B"/>
    <w:rsid w:val="00CE0059"/>
    <w:rsid w:val="00CE00A9"/>
    <w:rsid w:val="00CE02AA"/>
    <w:rsid w:val="00CE02AF"/>
    <w:rsid w:val="00CE0437"/>
    <w:rsid w:val="00CE0666"/>
    <w:rsid w:val="00CE0968"/>
    <w:rsid w:val="00CE0CAD"/>
    <w:rsid w:val="00CE10DF"/>
    <w:rsid w:val="00CE115E"/>
    <w:rsid w:val="00CE116A"/>
    <w:rsid w:val="00CE1189"/>
    <w:rsid w:val="00CE11EE"/>
    <w:rsid w:val="00CE1237"/>
    <w:rsid w:val="00CE12B9"/>
    <w:rsid w:val="00CE1324"/>
    <w:rsid w:val="00CE1A7A"/>
    <w:rsid w:val="00CE1E64"/>
    <w:rsid w:val="00CE1E88"/>
    <w:rsid w:val="00CE1F49"/>
    <w:rsid w:val="00CE1F78"/>
    <w:rsid w:val="00CE2010"/>
    <w:rsid w:val="00CE208F"/>
    <w:rsid w:val="00CE2118"/>
    <w:rsid w:val="00CE2250"/>
    <w:rsid w:val="00CE2473"/>
    <w:rsid w:val="00CE25E6"/>
    <w:rsid w:val="00CE264C"/>
    <w:rsid w:val="00CE2665"/>
    <w:rsid w:val="00CE275F"/>
    <w:rsid w:val="00CE280A"/>
    <w:rsid w:val="00CE28D1"/>
    <w:rsid w:val="00CE2A38"/>
    <w:rsid w:val="00CE2A50"/>
    <w:rsid w:val="00CE2A6F"/>
    <w:rsid w:val="00CE2BD5"/>
    <w:rsid w:val="00CE2C19"/>
    <w:rsid w:val="00CE2EA8"/>
    <w:rsid w:val="00CE2F39"/>
    <w:rsid w:val="00CE2F4F"/>
    <w:rsid w:val="00CE3085"/>
    <w:rsid w:val="00CE3185"/>
    <w:rsid w:val="00CE3226"/>
    <w:rsid w:val="00CE32E7"/>
    <w:rsid w:val="00CE3418"/>
    <w:rsid w:val="00CE3423"/>
    <w:rsid w:val="00CE370A"/>
    <w:rsid w:val="00CE3A74"/>
    <w:rsid w:val="00CE3C32"/>
    <w:rsid w:val="00CE3C74"/>
    <w:rsid w:val="00CE3DBC"/>
    <w:rsid w:val="00CE411A"/>
    <w:rsid w:val="00CE42A6"/>
    <w:rsid w:val="00CE438D"/>
    <w:rsid w:val="00CE438E"/>
    <w:rsid w:val="00CE475B"/>
    <w:rsid w:val="00CE4850"/>
    <w:rsid w:val="00CE4986"/>
    <w:rsid w:val="00CE49C8"/>
    <w:rsid w:val="00CE4ACC"/>
    <w:rsid w:val="00CE4B2E"/>
    <w:rsid w:val="00CE4CFB"/>
    <w:rsid w:val="00CE4D17"/>
    <w:rsid w:val="00CE503A"/>
    <w:rsid w:val="00CE50C1"/>
    <w:rsid w:val="00CE5259"/>
    <w:rsid w:val="00CE5270"/>
    <w:rsid w:val="00CE52DB"/>
    <w:rsid w:val="00CE530C"/>
    <w:rsid w:val="00CE5696"/>
    <w:rsid w:val="00CE58A4"/>
    <w:rsid w:val="00CE5BF8"/>
    <w:rsid w:val="00CE5C67"/>
    <w:rsid w:val="00CE5DEA"/>
    <w:rsid w:val="00CE5F46"/>
    <w:rsid w:val="00CE639B"/>
    <w:rsid w:val="00CE63A6"/>
    <w:rsid w:val="00CE645E"/>
    <w:rsid w:val="00CE65A7"/>
    <w:rsid w:val="00CE6733"/>
    <w:rsid w:val="00CE683C"/>
    <w:rsid w:val="00CE6897"/>
    <w:rsid w:val="00CE6ADE"/>
    <w:rsid w:val="00CE6B92"/>
    <w:rsid w:val="00CE6D06"/>
    <w:rsid w:val="00CE7159"/>
    <w:rsid w:val="00CE71BA"/>
    <w:rsid w:val="00CE72FC"/>
    <w:rsid w:val="00CE7436"/>
    <w:rsid w:val="00CE78BC"/>
    <w:rsid w:val="00CE78EF"/>
    <w:rsid w:val="00CE7A0D"/>
    <w:rsid w:val="00CE7A6E"/>
    <w:rsid w:val="00CE7B5A"/>
    <w:rsid w:val="00CE7F55"/>
    <w:rsid w:val="00CF013B"/>
    <w:rsid w:val="00CF0203"/>
    <w:rsid w:val="00CF028B"/>
    <w:rsid w:val="00CF035D"/>
    <w:rsid w:val="00CF04B8"/>
    <w:rsid w:val="00CF0737"/>
    <w:rsid w:val="00CF0866"/>
    <w:rsid w:val="00CF091B"/>
    <w:rsid w:val="00CF0B07"/>
    <w:rsid w:val="00CF0C01"/>
    <w:rsid w:val="00CF0C1E"/>
    <w:rsid w:val="00CF0DC5"/>
    <w:rsid w:val="00CF1073"/>
    <w:rsid w:val="00CF10EA"/>
    <w:rsid w:val="00CF119B"/>
    <w:rsid w:val="00CF12B0"/>
    <w:rsid w:val="00CF1357"/>
    <w:rsid w:val="00CF1433"/>
    <w:rsid w:val="00CF199C"/>
    <w:rsid w:val="00CF1B5F"/>
    <w:rsid w:val="00CF1B76"/>
    <w:rsid w:val="00CF1CAC"/>
    <w:rsid w:val="00CF1D29"/>
    <w:rsid w:val="00CF1FC9"/>
    <w:rsid w:val="00CF200A"/>
    <w:rsid w:val="00CF217F"/>
    <w:rsid w:val="00CF21FC"/>
    <w:rsid w:val="00CF22C1"/>
    <w:rsid w:val="00CF23D1"/>
    <w:rsid w:val="00CF2652"/>
    <w:rsid w:val="00CF298C"/>
    <w:rsid w:val="00CF29F8"/>
    <w:rsid w:val="00CF2BB1"/>
    <w:rsid w:val="00CF2D3B"/>
    <w:rsid w:val="00CF2F84"/>
    <w:rsid w:val="00CF2FDD"/>
    <w:rsid w:val="00CF318C"/>
    <w:rsid w:val="00CF3872"/>
    <w:rsid w:val="00CF392C"/>
    <w:rsid w:val="00CF3940"/>
    <w:rsid w:val="00CF3B3C"/>
    <w:rsid w:val="00CF3C7C"/>
    <w:rsid w:val="00CF3CF9"/>
    <w:rsid w:val="00CF3D07"/>
    <w:rsid w:val="00CF3DA5"/>
    <w:rsid w:val="00CF3FB5"/>
    <w:rsid w:val="00CF3FE9"/>
    <w:rsid w:val="00CF4197"/>
    <w:rsid w:val="00CF441B"/>
    <w:rsid w:val="00CF46A1"/>
    <w:rsid w:val="00CF48D2"/>
    <w:rsid w:val="00CF4A72"/>
    <w:rsid w:val="00CF500A"/>
    <w:rsid w:val="00CF523C"/>
    <w:rsid w:val="00CF5256"/>
    <w:rsid w:val="00CF5263"/>
    <w:rsid w:val="00CF5436"/>
    <w:rsid w:val="00CF55EC"/>
    <w:rsid w:val="00CF56F5"/>
    <w:rsid w:val="00CF592E"/>
    <w:rsid w:val="00CF5D73"/>
    <w:rsid w:val="00CF6033"/>
    <w:rsid w:val="00CF609B"/>
    <w:rsid w:val="00CF6229"/>
    <w:rsid w:val="00CF62B8"/>
    <w:rsid w:val="00CF62BF"/>
    <w:rsid w:val="00CF63A4"/>
    <w:rsid w:val="00CF63B2"/>
    <w:rsid w:val="00CF65D4"/>
    <w:rsid w:val="00CF66A5"/>
    <w:rsid w:val="00CF68E4"/>
    <w:rsid w:val="00CF6CE8"/>
    <w:rsid w:val="00CF6E00"/>
    <w:rsid w:val="00CF6F96"/>
    <w:rsid w:val="00CF71A5"/>
    <w:rsid w:val="00CF7765"/>
    <w:rsid w:val="00CF7B2E"/>
    <w:rsid w:val="00CF7BC7"/>
    <w:rsid w:val="00CF7E80"/>
    <w:rsid w:val="00CF7ECB"/>
    <w:rsid w:val="00D000B8"/>
    <w:rsid w:val="00D0038D"/>
    <w:rsid w:val="00D0060A"/>
    <w:rsid w:val="00D008BA"/>
    <w:rsid w:val="00D00980"/>
    <w:rsid w:val="00D00C95"/>
    <w:rsid w:val="00D00F19"/>
    <w:rsid w:val="00D0108C"/>
    <w:rsid w:val="00D011C2"/>
    <w:rsid w:val="00D01255"/>
    <w:rsid w:val="00D014AC"/>
    <w:rsid w:val="00D01524"/>
    <w:rsid w:val="00D01686"/>
    <w:rsid w:val="00D0171B"/>
    <w:rsid w:val="00D01B8E"/>
    <w:rsid w:val="00D01E00"/>
    <w:rsid w:val="00D021D6"/>
    <w:rsid w:val="00D02331"/>
    <w:rsid w:val="00D02374"/>
    <w:rsid w:val="00D024B3"/>
    <w:rsid w:val="00D02546"/>
    <w:rsid w:val="00D0272B"/>
    <w:rsid w:val="00D029C3"/>
    <w:rsid w:val="00D029C4"/>
    <w:rsid w:val="00D029FC"/>
    <w:rsid w:val="00D02C68"/>
    <w:rsid w:val="00D0305E"/>
    <w:rsid w:val="00D030D8"/>
    <w:rsid w:val="00D030F5"/>
    <w:rsid w:val="00D03238"/>
    <w:rsid w:val="00D032AC"/>
    <w:rsid w:val="00D03478"/>
    <w:rsid w:val="00D036CE"/>
    <w:rsid w:val="00D03796"/>
    <w:rsid w:val="00D037D1"/>
    <w:rsid w:val="00D0381C"/>
    <w:rsid w:val="00D039B4"/>
    <w:rsid w:val="00D03A2C"/>
    <w:rsid w:val="00D03AD0"/>
    <w:rsid w:val="00D03CC8"/>
    <w:rsid w:val="00D03D60"/>
    <w:rsid w:val="00D0400E"/>
    <w:rsid w:val="00D041A6"/>
    <w:rsid w:val="00D04549"/>
    <w:rsid w:val="00D04688"/>
    <w:rsid w:val="00D0475B"/>
    <w:rsid w:val="00D0506B"/>
    <w:rsid w:val="00D05077"/>
    <w:rsid w:val="00D052B4"/>
    <w:rsid w:val="00D05374"/>
    <w:rsid w:val="00D056D8"/>
    <w:rsid w:val="00D0579C"/>
    <w:rsid w:val="00D058FA"/>
    <w:rsid w:val="00D05935"/>
    <w:rsid w:val="00D059F7"/>
    <w:rsid w:val="00D05EC1"/>
    <w:rsid w:val="00D062F7"/>
    <w:rsid w:val="00D063A3"/>
    <w:rsid w:val="00D0646E"/>
    <w:rsid w:val="00D064A5"/>
    <w:rsid w:val="00D0656F"/>
    <w:rsid w:val="00D065A2"/>
    <w:rsid w:val="00D06735"/>
    <w:rsid w:val="00D0676A"/>
    <w:rsid w:val="00D06780"/>
    <w:rsid w:val="00D0683F"/>
    <w:rsid w:val="00D069B1"/>
    <w:rsid w:val="00D06AD7"/>
    <w:rsid w:val="00D06C3C"/>
    <w:rsid w:val="00D0709C"/>
    <w:rsid w:val="00D0710B"/>
    <w:rsid w:val="00D071A6"/>
    <w:rsid w:val="00D072E9"/>
    <w:rsid w:val="00D074CC"/>
    <w:rsid w:val="00D0752A"/>
    <w:rsid w:val="00D075FA"/>
    <w:rsid w:val="00D07710"/>
    <w:rsid w:val="00D07759"/>
    <w:rsid w:val="00D0793A"/>
    <w:rsid w:val="00D07995"/>
    <w:rsid w:val="00D07D32"/>
    <w:rsid w:val="00D07D48"/>
    <w:rsid w:val="00D07FAF"/>
    <w:rsid w:val="00D10046"/>
    <w:rsid w:val="00D10236"/>
    <w:rsid w:val="00D1036E"/>
    <w:rsid w:val="00D10637"/>
    <w:rsid w:val="00D106F3"/>
    <w:rsid w:val="00D10736"/>
    <w:rsid w:val="00D1073A"/>
    <w:rsid w:val="00D108A0"/>
    <w:rsid w:val="00D10A29"/>
    <w:rsid w:val="00D10CE7"/>
    <w:rsid w:val="00D10F00"/>
    <w:rsid w:val="00D10F0F"/>
    <w:rsid w:val="00D10FBB"/>
    <w:rsid w:val="00D10FCB"/>
    <w:rsid w:val="00D111CD"/>
    <w:rsid w:val="00D112DE"/>
    <w:rsid w:val="00D11468"/>
    <w:rsid w:val="00D11539"/>
    <w:rsid w:val="00D1160E"/>
    <w:rsid w:val="00D11A79"/>
    <w:rsid w:val="00D11C4C"/>
    <w:rsid w:val="00D11DC7"/>
    <w:rsid w:val="00D11F2D"/>
    <w:rsid w:val="00D1211A"/>
    <w:rsid w:val="00D1235A"/>
    <w:rsid w:val="00D1246A"/>
    <w:rsid w:val="00D125A4"/>
    <w:rsid w:val="00D128B7"/>
    <w:rsid w:val="00D12928"/>
    <w:rsid w:val="00D12A5F"/>
    <w:rsid w:val="00D12B9A"/>
    <w:rsid w:val="00D12D08"/>
    <w:rsid w:val="00D12E38"/>
    <w:rsid w:val="00D13066"/>
    <w:rsid w:val="00D1334C"/>
    <w:rsid w:val="00D13624"/>
    <w:rsid w:val="00D13637"/>
    <w:rsid w:val="00D137A5"/>
    <w:rsid w:val="00D138D7"/>
    <w:rsid w:val="00D13990"/>
    <w:rsid w:val="00D13A87"/>
    <w:rsid w:val="00D13BE7"/>
    <w:rsid w:val="00D13D35"/>
    <w:rsid w:val="00D13EBF"/>
    <w:rsid w:val="00D13FE1"/>
    <w:rsid w:val="00D14232"/>
    <w:rsid w:val="00D143FA"/>
    <w:rsid w:val="00D14827"/>
    <w:rsid w:val="00D14833"/>
    <w:rsid w:val="00D14852"/>
    <w:rsid w:val="00D14AE3"/>
    <w:rsid w:val="00D14C14"/>
    <w:rsid w:val="00D14CA5"/>
    <w:rsid w:val="00D14EDC"/>
    <w:rsid w:val="00D151CC"/>
    <w:rsid w:val="00D15278"/>
    <w:rsid w:val="00D1547B"/>
    <w:rsid w:val="00D1565D"/>
    <w:rsid w:val="00D157D8"/>
    <w:rsid w:val="00D15871"/>
    <w:rsid w:val="00D15E2D"/>
    <w:rsid w:val="00D15E76"/>
    <w:rsid w:val="00D15FCD"/>
    <w:rsid w:val="00D161FC"/>
    <w:rsid w:val="00D1644E"/>
    <w:rsid w:val="00D1675D"/>
    <w:rsid w:val="00D1696B"/>
    <w:rsid w:val="00D16995"/>
    <w:rsid w:val="00D169B7"/>
    <w:rsid w:val="00D16AA2"/>
    <w:rsid w:val="00D16D1B"/>
    <w:rsid w:val="00D16DB3"/>
    <w:rsid w:val="00D16DF1"/>
    <w:rsid w:val="00D1740A"/>
    <w:rsid w:val="00D175D4"/>
    <w:rsid w:val="00D1780C"/>
    <w:rsid w:val="00D17895"/>
    <w:rsid w:val="00D17B65"/>
    <w:rsid w:val="00D17D41"/>
    <w:rsid w:val="00D17E0B"/>
    <w:rsid w:val="00D201E9"/>
    <w:rsid w:val="00D20700"/>
    <w:rsid w:val="00D20714"/>
    <w:rsid w:val="00D20762"/>
    <w:rsid w:val="00D207BA"/>
    <w:rsid w:val="00D20822"/>
    <w:rsid w:val="00D20827"/>
    <w:rsid w:val="00D2087E"/>
    <w:rsid w:val="00D20ABB"/>
    <w:rsid w:val="00D20C5C"/>
    <w:rsid w:val="00D20CA4"/>
    <w:rsid w:val="00D20D43"/>
    <w:rsid w:val="00D20DAC"/>
    <w:rsid w:val="00D20E61"/>
    <w:rsid w:val="00D20EC2"/>
    <w:rsid w:val="00D20FC5"/>
    <w:rsid w:val="00D21195"/>
    <w:rsid w:val="00D2144B"/>
    <w:rsid w:val="00D21464"/>
    <w:rsid w:val="00D214C4"/>
    <w:rsid w:val="00D2150B"/>
    <w:rsid w:val="00D2151C"/>
    <w:rsid w:val="00D21700"/>
    <w:rsid w:val="00D21830"/>
    <w:rsid w:val="00D21853"/>
    <w:rsid w:val="00D21A44"/>
    <w:rsid w:val="00D21B26"/>
    <w:rsid w:val="00D21C7D"/>
    <w:rsid w:val="00D21E84"/>
    <w:rsid w:val="00D21FA6"/>
    <w:rsid w:val="00D22138"/>
    <w:rsid w:val="00D22187"/>
    <w:rsid w:val="00D22274"/>
    <w:rsid w:val="00D222A6"/>
    <w:rsid w:val="00D22512"/>
    <w:rsid w:val="00D22601"/>
    <w:rsid w:val="00D226C4"/>
    <w:rsid w:val="00D22755"/>
    <w:rsid w:val="00D22A02"/>
    <w:rsid w:val="00D22A08"/>
    <w:rsid w:val="00D22D9E"/>
    <w:rsid w:val="00D22DF6"/>
    <w:rsid w:val="00D22E7B"/>
    <w:rsid w:val="00D22EA3"/>
    <w:rsid w:val="00D22EE4"/>
    <w:rsid w:val="00D23174"/>
    <w:rsid w:val="00D2324D"/>
    <w:rsid w:val="00D233BF"/>
    <w:rsid w:val="00D233DD"/>
    <w:rsid w:val="00D23446"/>
    <w:rsid w:val="00D23721"/>
    <w:rsid w:val="00D23751"/>
    <w:rsid w:val="00D2381C"/>
    <w:rsid w:val="00D23A0C"/>
    <w:rsid w:val="00D23B5E"/>
    <w:rsid w:val="00D23C69"/>
    <w:rsid w:val="00D23EBD"/>
    <w:rsid w:val="00D2406A"/>
    <w:rsid w:val="00D240B6"/>
    <w:rsid w:val="00D24106"/>
    <w:rsid w:val="00D2414D"/>
    <w:rsid w:val="00D244D1"/>
    <w:rsid w:val="00D244EA"/>
    <w:rsid w:val="00D245FC"/>
    <w:rsid w:val="00D2469E"/>
    <w:rsid w:val="00D246B2"/>
    <w:rsid w:val="00D246C9"/>
    <w:rsid w:val="00D2474B"/>
    <w:rsid w:val="00D24847"/>
    <w:rsid w:val="00D2486C"/>
    <w:rsid w:val="00D24AE4"/>
    <w:rsid w:val="00D24B99"/>
    <w:rsid w:val="00D24C1F"/>
    <w:rsid w:val="00D24D6E"/>
    <w:rsid w:val="00D24D80"/>
    <w:rsid w:val="00D24FA0"/>
    <w:rsid w:val="00D24FD3"/>
    <w:rsid w:val="00D2517A"/>
    <w:rsid w:val="00D25203"/>
    <w:rsid w:val="00D25238"/>
    <w:rsid w:val="00D2532A"/>
    <w:rsid w:val="00D25456"/>
    <w:rsid w:val="00D25518"/>
    <w:rsid w:val="00D255E2"/>
    <w:rsid w:val="00D25811"/>
    <w:rsid w:val="00D259C3"/>
    <w:rsid w:val="00D25B44"/>
    <w:rsid w:val="00D25B86"/>
    <w:rsid w:val="00D25E02"/>
    <w:rsid w:val="00D25E71"/>
    <w:rsid w:val="00D260E2"/>
    <w:rsid w:val="00D263D1"/>
    <w:rsid w:val="00D265CB"/>
    <w:rsid w:val="00D26626"/>
    <w:rsid w:val="00D267C8"/>
    <w:rsid w:val="00D26868"/>
    <w:rsid w:val="00D26903"/>
    <w:rsid w:val="00D26AE0"/>
    <w:rsid w:val="00D26BED"/>
    <w:rsid w:val="00D26C96"/>
    <w:rsid w:val="00D26CD8"/>
    <w:rsid w:val="00D26DD9"/>
    <w:rsid w:val="00D276E4"/>
    <w:rsid w:val="00D276F4"/>
    <w:rsid w:val="00D27721"/>
    <w:rsid w:val="00D27831"/>
    <w:rsid w:val="00D27A01"/>
    <w:rsid w:val="00D27A98"/>
    <w:rsid w:val="00D27B25"/>
    <w:rsid w:val="00D27CAB"/>
    <w:rsid w:val="00D27F17"/>
    <w:rsid w:val="00D30005"/>
    <w:rsid w:val="00D30064"/>
    <w:rsid w:val="00D3035B"/>
    <w:rsid w:val="00D30373"/>
    <w:rsid w:val="00D30537"/>
    <w:rsid w:val="00D306AB"/>
    <w:rsid w:val="00D30929"/>
    <w:rsid w:val="00D30AF5"/>
    <w:rsid w:val="00D30BA1"/>
    <w:rsid w:val="00D30BC0"/>
    <w:rsid w:val="00D30C1B"/>
    <w:rsid w:val="00D30C57"/>
    <w:rsid w:val="00D30DFC"/>
    <w:rsid w:val="00D30E11"/>
    <w:rsid w:val="00D30F86"/>
    <w:rsid w:val="00D30FCF"/>
    <w:rsid w:val="00D3111D"/>
    <w:rsid w:val="00D31176"/>
    <w:rsid w:val="00D31263"/>
    <w:rsid w:val="00D312A8"/>
    <w:rsid w:val="00D3135C"/>
    <w:rsid w:val="00D313CD"/>
    <w:rsid w:val="00D314B5"/>
    <w:rsid w:val="00D3181E"/>
    <w:rsid w:val="00D318C8"/>
    <w:rsid w:val="00D3195A"/>
    <w:rsid w:val="00D31B11"/>
    <w:rsid w:val="00D31BD8"/>
    <w:rsid w:val="00D31CE3"/>
    <w:rsid w:val="00D321DF"/>
    <w:rsid w:val="00D32284"/>
    <w:rsid w:val="00D32337"/>
    <w:rsid w:val="00D3251E"/>
    <w:rsid w:val="00D32651"/>
    <w:rsid w:val="00D32679"/>
    <w:rsid w:val="00D326A2"/>
    <w:rsid w:val="00D327A6"/>
    <w:rsid w:val="00D327E6"/>
    <w:rsid w:val="00D32AD3"/>
    <w:rsid w:val="00D32FEC"/>
    <w:rsid w:val="00D3318D"/>
    <w:rsid w:val="00D33361"/>
    <w:rsid w:val="00D33477"/>
    <w:rsid w:val="00D334D0"/>
    <w:rsid w:val="00D3350C"/>
    <w:rsid w:val="00D336CD"/>
    <w:rsid w:val="00D336E2"/>
    <w:rsid w:val="00D33B39"/>
    <w:rsid w:val="00D33BCD"/>
    <w:rsid w:val="00D33DF7"/>
    <w:rsid w:val="00D33F7D"/>
    <w:rsid w:val="00D33F88"/>
    <w:rsid w:val="00D33FE7"/>
    <w:rsid w:val="00D34095"/>
    <w:rsid w:val="00D340B8"/>
    <w:rsid w:val="00D342E1"/>
    <w:rsid w:val="00D343B9"/>
    <w:rsid w:val="00D346F9"/>
    <w:rsid w:val="00D347EF"/>
    <w:rsid w:val="00D34875"/>
    <w:rsid w:val="00D348CD"/>
    <w:rsid w:val="00D34964"/>
    <w:rsid w:val="00D34974"/>
    <w:rsid w:val="00D349A2"/>
    <w:rsid w:val="00D34DAC"/>
    <w:rsid w:val="00D34E06"/>
    <w:rsid w:val="00D34F68"/>
    <w:rsid w:val="00D34FD8"/>
    <w:rsid w:val="00D35012"/>
    <w:rsid w:val="00D350A2"/>
    <w:rsid w:val="00D350C4"/>
    <w:rsid w:val="00D35384"/>
    <w:rsid w:val="00D353BB"/>
    <w:rsid w:val="00D355AF"/>
    <w:rsid w:val="00D35701"/>
    <w:rsid w:val="00D3574D"/>
    <w:rsid w:val="00D357A6"/>
    <w:rsid w:val="00D35844"/>
    <w:rsid w:val="00D35970"/>
    <w:rsid w:val="00D359D8"/>
    <w:rsid w:val="00D35A65"/>
    <w:rsid w:val="00D35E55"/>
    <w:rsid w:val="00D35E94"/>
    <w:rsid w:val="00D35ECD"/>
    <w:rsid w:val="00D35F11"/>
    <w:rsid w:val="00D36039"/>
    <w:rsid w:val="00D36282"/>
    <w:rsid w:val="00D362D4"/>
    <w:rsid w:val="00D362E4"/>
    <w:rsid w:val="00D36603"/>
    <w:rsid w:val="00D366CE"/>
    <w:rsid w:val="00D366E0"/>
    <w:rsid w:val="00D36896"/>
    <w:rsid w:val="00D36983"/>
    <w:rsid w:val="00D3699C"/>
    <w:rsid w:val="00D36BB1"/>
    <w:rsid w:val="00D36CCE"/>
    <w:rsid w:val="00D36CD7"/>
    <w:rsid w:val="00D36E5D"/>
    <w:rsid w:val="00D37706"/>
    <w:rsid w:val="00D377C7"/>
    <w:rsid w:val="00D37844"/>
    <w:rsid w:val="00D37AE3"/>
    <w:rsid w:val="00D37EBF"/>
    <w:rsid w:val="00D40026"/>
    <w:rsid w:val="00D40272"/>
    <w:rsid w:val="00D403ED"/>
    <w:rsid w:val="00D40748"/>
    <w:rsid w:val="00D4078B"/>
    <w:rsid w:val="00D407B9"/>
    <w:rsid w:val="00D40839"/>
    <w:rsid w:val="00D408B3"/>
    <w:rsid w:val="00D40BE7"/>
    <w:rsid w:val="00D40CF5"/>
    <w:rsid w:val="00D40E47"/>
    <w:rsid w:val="00D40F82"/>
    <w:rsid w:val="00D410D3"/>
    <w:rsid w:val="00D412D4"/>
    <w:rsid w:val="00D41435"/>
    <w:rsid w:val="00D416D4"/>
    <w:rsid w:val="00D417DB"/>
    <w:rsid w:val="00D41A25"/>
    <w:rsid w:val="00D41B6D"/>
    <w:rsid w:val="00D41CA9"/>
    <w:rsid w:val="00D41D1B"/>
    <w:rsid w:val="00D41E00"/>
    <w:rsid w:val="00D4208A"/>
    <w:rsid w:val="00D422D4"/>
    <w:rsid w:val="00D42307"/>
    <w:rsid w:val="00D4246C"/>
    <w:rsid w:val="00D424B4"/>
    <w:rsid w:val="00D42567"/>
    <w:rsid w:val="00D425AD"/>
    <w:rsid w:val="00D42658"/>
    <w:rsid w:val="00D42A5B"/>
    <w:rsid w:val="00D42CC5"/>
    <w:rsid w:val="00D43064"/>
    <w:rsid w:val="00D4309D"/>
    <w:rsid w:val="00D4320D"/>
    <w:rsid w:val="00D434C8"/>
    <w:rsid w:val="00D435F3"/>
    <w:rsid w:val="00D4369D"/>
    <w:rsid w:val="00D436FB"/>
    <w:rsid w:val="00D4380B"/>
    <w:rsid w:val="00D4394E"/>
    <w:rsid w:val="00D43BA1"/>
    <w:rsid w:val="00D43D57"/>
    <w:rsid w:val="00D43FEE"/>
    <w:rsid w:val="00D441CD"/>
    <w:rsid w:val="00D4424B"/>
    <w:rsid w:val="00D4426A"/>
    <w:rsid w:val="00D444D7"/>
    <w:rsid w:val="00D445D4"/>
    <w:rsid w:val="00D44765"/>
    <w:rsid w:val="00D447AF"/>
    <w:rsid w:val="00D44973"/>
    <w:rsid w:val="00D44A85"/>
    <w:rsid w:val="00D44AB3"/>
    <w:rsid w:val="00D44C47"/>
    <w:rsid w:val="00D44C94"/>
    <w:rsid w:val="00D44D4E"/>
    <w:rsid w:val="00D44EC5"/>
    <w:rsid w:val="00D45065"/>
    <w:rsid w:val="00D45140"/>
    <w:rsid w:val="00D45529"/>
    <w:rsid w:val="00D45869"/>
    <w:rsid w:val="00D4593D"/>
    <w:rsid w:val="00D45AD7"/>
    <w:rsid w:val="00D45BF4"/>
    <w:rsid w:val="00D45C95"/>
    <w:rsid w:val="00D45E72"/>
    <w:rsid w:val="00D45ECB"/>
    <w:rsid w:val="00D45F49"/>
    <w:rsid w:val="00D46056"/>
    <w:rsid w:val="00D46097"/>
    <w:rsid w:val="00D46122"/>
    <w:rsid w:val="00D4630B"/>
    <w:rsid w:val="00D464D9"/>
    <w:rsid w:val="00D4690A"/>
    <w:rsid w:val="00D46A80"/>
    <w:rsid w:val="00D46AE0"/>
    <w:rsid w:val="00D46B50"/>
    <w:rsid w:val="00D46BF8"/>
    <w:rsid w:val="00D46C3C"/>
    <w:rsid w:val="00D46D6A"/>
    <w:rsid w:val="00D46E16"/>
    <w:rsid w:val="00D46E9A"/>
    <w:rsid w:val="00D46EA0"/>
    <w:rsid w:val="00D46FEA"/>
    <w:rsid w:val="00D470E4"/>
    <w:rsid w:val="00D473A4"/>
    <w:rsid w:val="00D474A8"/>
    <w:rsid w:val="00D474E5"/>
    <w:rsid w:val="00D4753B"/>
    <w:rsid w:val="00D4793C"/>
    <w:rsid w:val="00D47C14"/>
    <w:rsid w:val="00D47C7D"/>
    <w:rsid w:val="00D47DAB"/>
    <w:rsid w:val="00D47E48"/>
    <w:rsid w:val="00D47F78"/>
    <w:rsid w:val="00D50131"/>
    <w:rsid w:val="00D50168"/>
    <w:rsid w:val="00D50198"/>
    <w:rsid w:val="00D503E8"/>
    <w:rsid w:val="00D504BE"/>
    <w:rsid w:val="00D5051A"/>
    <w:rsid w:val="00D5067A"/>
    <w:rsid w:val="00D50721"/>
    <w:rsid w:val="00D507AC"/>
    <w:rsid w:val="00D508D4"/>
    <w:rsid w:val="00D50ADC"/>
    <w:rsid w:val="00D50B9D"/>
    <w:rsid w:val="00D50BF8"/>
    <w:rsid w:val="00D50C40"/>
    <w:rsid w:val="00D50CD9"/>
    <w:rsid w:val="00D50DEA"/>
    <w:rsid w:val="00D510CC"/>
    <w:rsid w:val="00D510DD"/>
    <w:rsid w:val="00D5124F"/>
    <w:rsid w:val="00D51453"/>
    <w:rsid w:val="00D51483"/>
    <w:rsid w:val="00D514E9"/>
    <w:rsid w:val="00D51842"/>
    <w:rsid w:val="00D5193A"/>
    <w:rsid w:val="00D51AAF"/>
    <w:rsid w:val="00D51BAD"/>
    <w:rsid w:val="00D51D33"/>
    <w:rsid w:val="00D51D4E"/>
    <w:rsid w:val="00D51D97"/>
    <w:rsid w:val="00D51DA0"/>
    <w:rsid w:val="00D51DA7"/>
    <w:rsid w:val="00D520B5"/>
    <w:rsid w:val="00D52251"/>
    <w:rsid w:val="00D522F9"/>
    <w:rsid w:val="00D52447"/>
    <w:rsid w:val="00D524BC"/>
    <w:rsid w:val="00D524E6"/>
    <w:rsid w:val="00D52605"/>
    <w:rsid w:val="00D526A6"/>
    <w:rsid w:val="00D5282F"/>
    <w:rsid w:val="00D528AF"/>
    <w:rsid w:val="00D52D6B"/>
    <w:rsid w:val="00D52D7E"/>
    <w:rsid w:val="00D52DEC"/>
    <w:rsid w:val="00D52F8D"/>
    <w:rsid w:val="00D53459"/>
    <w:rsid w:val="00D537BC"/>
    <w:rsid w:val="00D53851"/>
    <w:rsid w:val="00D538EC"/>
    <w:rsid w:val="00D539E0"/>
    <w:rsid w:val="00D539ED"/>
    <w:rsid w:val="00D53A11"/>
    <w:rsid w:val="00D53B73"/>
    <w:rsid w:val="00D53C1D"/>
    <w:rsid w:val="00D53F17"/>
    <w:rsid w:val="00D53F53"/>
    <w:rsid w:val="00D54340"/>
    <w:rsid w:val="00D5449A"/>
    <w:rsid w:val="00D544E3"/>
    <w:rsid w:val="00D54858"/>
    <w:rsid w:val="00D54875"/>
    <w:rsid w:val="00D548E1"/>
    <w:rsid w:val="00D54C16"/>
    <w:rsid w:val="00D54C5B"/>
    <w:rsid w:val="00D54DD7"/>
    <w:rsid w:val="00D54E3F"/>
    <w:rsid w:val="00D54EDE"/>
    <w:rsid w:val="00D54FEC"/>
    <w:rsid w:val="00D55086"/>
    <w:rsid w:val="00D55167"/>
    <w:rsid w:val="00D551FE"/>
    <w:rsid w:val="00D556EA"/>
    <w:rsid w:val="00D55786"/>
    <w:rsid w:val="00D558A9"/>
    <w:rsid w:val="00D55AB0"/>
    <w:rsid w:val="00D55AB7"/>
    <w:rsid w:val="00D55B09"/>
    <w:rsid w:val="00D55DF2"/>
    <w:rsid w:val="00D56032"/>
    <w:rsid w:val="00D56049"/>
    <w:rsid w:val="00D560AA"/>
    <w:rsid w:val="00D560EC"/>
    <w:rsid w:val="00D56146"/>
    <w:rsid w:val="00D56197"/>
    <w:rsid w:val="00D563B8"/>
    <w:rsid w:val="00D564CA"/>
    <w:rsid w:val="00D56523"/>
    <w:rsid w:val="00D5655B"/>
    <w:rsid w:val="00D56632"/>
    <w:rsid w:val="00D56A33"/>
    <w:rsid w:val="00D56B99"/>
    <w:rsid w:val="00D56DB4"/>
    <w:rsid w:val="00D56DD6"/>
    <w:rsid w:val="00D56EAA"/>
    <w:rsid w:val="00D5730F"/>
    <w:rsid w:val="00D57371"/>
    <w:rsid w:val="00D5740D"/>
    <w:rsid w:val="00D574DC"/>
    <w:rsid w:val="00D576DC"/>
    <w:rsid w:val="00D57D3E"/>
    <w:rsid w:val="00D57DA9"/>
    <w:rsid w:val="00D57FB4"/>
    <w:rsid w:val="00D60051"/>
    <w:rsid w:val="00D60093"/>
    <w:rsid w:val="00D601BC"/>
    <w:rsid w:val="00D6028A"/>
    <w:rsid w:val="00D60380"/>
    <w:rsid w:val="00D60506"/>
    <w:rsid w:val="00D60646"/>
    <w:rsid w:val="00D607B0"/>
    <w:rsid w:val="00D608DF"/>
    <w:rsid w:val="00D608F0"/>
    <w:rsid w:val="00D608F7"/>
    <w:rsid w:val="00D6095A"/>
    <w:rsid w:val="00D609B0"/>
    <w:rsid w:val="00D60DCB"/>
    <w:rsid w:val="00D60E18"/>
    <w:rsid w:val="00D60E2A"/>
    <w:rsid w:val="00D60F33"/>
    <w:rsid w:val="00D6101B"/>
    <w:rsid w:val="00D611C9"/>
    <w:rsid w:val="00D6123C"/>
    <w:rsid w:val="00D61277"/>
    <w:rsid w:val="00D61392"/>
    <w:rsid w:val="00D61399"/>
    <w:rsid w:val="00D61508"/>
    <w:rsid w:val="00D61718"/>
    <w:rsid w:val="00D6175C"/>
    <w:rsid w:val="00D61895"/>
    <w:rsid w:val="00D6190D"/>
    <w:rsid w:val="00D61AA9"/>
    <w:rsid w:val="00D61BAF"/>
    <w:rsid w:val="00D61BE0"/>
    <w:rsid w:val="00D61D53"/>
    <w:rsid w:val="00D61E1B"/>
    <w:rsid w:val="00D6200F"/>
    <w:rsid w:val="00D62128"/>
    <w:rsid w:val="00D62184"/>
    <w:rsid w:val="00D622B5"/>
    <w:rsid w:val="00D622D8"/>
    <w:rsid w:val="00D62652"/>
    <w:rsid w:val="00D626C0"/>
    <w:rsid w:val="00D6282C"/>
    <w:rsid w:val="00D6283A"/>
    <w:rsid w:val="00D62932"/>
    <w:rsid w:val="00D62958"/>
    <w:rsid w:val="00D629BF"/>
    <w:rsid w:val="00D62B52"/>
    <w:rsid w:val="00D62D05"/>
    <w:rsid w:val="00D62DD3"/>
    <w:rsid w:val="00D6301D"/>
    <w:rsid w:val="00D6304E"/>
    <w:rsid w:val="00D63140"/>
    <w:rsid w:val="00D632C4"/>
    <w:rsid w:val="00D63400"/>
    <w:rsid w:val="00D63679"/>
    <w:rsid w:val="00D63884"/>
    <w:rsid w:val="00D63948"/>
    <w:rsid w:val="00D63ADB"/>
    <w:rsid w:val="00D63AFA"/>
    <w:rsid w:val="00D63B77"/>
    <w:rsid w:val="00D63BD4"/>
    <w:rsid w:val="00D63C03"/>
    <w:rsid w:val="00D63E61"/>
    <w:rsid w:val="00D64244"/>
    <w:rsid w:val="00D6434B"/>
    <w:rsid w:val="00D6436D"/>
    <w:rsid w:val="00D6444F"/>
    <w:rsid w:val="00D6451B"/>
    <w:rsid w:val="00D646D4"/>
    <w:rsid w:val="00D6477E"/>
    <w:rsid w:val="00D647F5"/>
    <w:rsid w:val="00D64E32"/>
    <w:rsid w:val="00D64F54"/>
    <w:rsid w:val="00D64FFA"/>
    <w:rsid w:val="00D6507C"/>
    <w:rsid w:val="00D6508C"/>
    <w:rsid w:val="00D65452"/>
    <w:rsid w:val="00D65520"/>
    <w:rsid w:val="00D65538"/>
    <w:rsid w:val="00D6557B"/>
    <w:rsid w:val="00D655BD"/>
    <w:rsid w:val="00D65704"/>
    <w:rsid w:val="00D6593A"/>
    <w:rsid w:val="00D65960"/>
    <w:rsid w:val="00D65993"/>
    <w:rsid w:val="00D65C14"/>
    <w:rsid w:val="00D65C20"/>
    <w:rsid w:val="00D65D37"/>
    <w:rsid w:val="00D65E53"/>
    <w:rsid w:val="00D65EA8"/>
    <w:rsid w:val="00D65F2D"/>
    <w:rsid w:val="00D65FD1"/>
    <w:rsid w:val="00D6610D"/>
    <w:rsid w:val="00D66807"/>
    <w:rsid w:val="00D66907"/>
    <w:rsid w:val="00D6699B"/>
    <w:rsid w:val="00D66A89"/>
    <w:rsid w:val="00D66C4B"/>
    <w:rsid w:val="00D66DD1"/>
    <w:rsid w:val="00D66F05"/>
    <w:rsid w:val="00D6711A"/>
    <w:rsid w:val="00D6724E"/>
    <w:rsid w:val="00D67401"/>
    <w:rsid w:val="00D67442"/>
    <w:rsid w:val="00D67460"/>
    <w:rsid w:val="00D678BD"/>
    <w:rsid w:val="00D67C7D"/>
    <w:rsid w:val="00D67CAB"/>
    <w:rsid w:val="00D67CBA"/>
    <w:rsid w:val="00D67EDA"/>
    <w:rsid w:val="00D67F8C"/>
    <w:rsid w:val="00D7028B"/>
    <w:rsid w:val="00D70550"/>
    <w:rsid w:val="00D705C1"/>
    <w:rsid w:val="00D706B3"/>
    <w:rsid w:val="00D70A45"/>
    <w:rsid w:val="00D70B6C"/>
    <w:rsid w:val="00D70CAF"/>
    <w:rsid w:val="00D70CCA"/>
    <w:rsid w:val="00D710A9"/>
    <w:rsid w:val="00D710D8"/>
    <w:rsid w:val="00D712F4"/>
    <w:rsid w:val="00D713D6"/>
    <w:rsid w:val="00D714A5"/>
    <w:rsid w:val="00D71629"/>
    <w:rsid w:val="00D71681"/>
    <w:rsid w:val="00D716CE"/>
    <w:rsid w:val="00D719E5"/>
    <w:rsid w:val="00D71BF1"/>
    <w:rsid w:val="00D71EA3"/>
    <w:rsid w:val="00D71F12"/>
    <w:rsid w:val="00D71F93"/>
    <w:rsid w:val="00D721D3"/>
    <w:rsid w:val="00D723C3"/>
    <w:rsid w:val="00D725EA"/>
    <w:rsid w:val="00D72623"/>
    <w:rsid w:val="00D727A0"/>
    <w:rsid w:val="00D72898"/>
    <w:rsid w:val="00D7298C"/>
    <w:rsid w:val="00D729AF"/>
    <w:rsid w:val="00D72BBA"/>
    <w:rsid w:val="00D72CB2"/>
    <w:rsid w:val="00D72E70"/>
    <w:rsid w:val="00D73122"/>
    <w:rsid w:val="00D7333C"/>
    <w:rsid w:val="00D73665"/>
    <w:rsid w:val="00D7379F"/>
    <w:rsid w:val="00D737F4"/>
    <w:rsid w:val="00D73BE5"/>
    <w:rsid w:val="00D73C5C"/>
    <w:rsid w:val="00D73CEF"/>
    <w:rsid w:val="00D73F98"/>
    <w:rsid w:val="00D7476C"/>
    <w:rsid w:val="00D747AD"/>
    <w:rsid w:val="00D74A66"/>
    <w:rsid w:val="00D74AD7"/>
    <w:rsid w:val="00D74CA4"/>
    <w:rsid w:val="00D74D39"/>
    <w:rsid w:val="00D74EF2"/>
    <w:rsid w:val="00D75056"/>
    <w:rsid w:val="00D7535F"/>
    <w:rsid w:val="00D75460"/>
    <w:rsid w:val="00D754BA"/>
    <w:rsid w:val="00D7565A"/>
    <w:rsid w:val="00D7579B"/>
    <w:rsid w:val="00D757D6"/>
    <w:rsid w:val="00D75807"/>
    <w:rsid w:val="00D75DD2"/>
    <w:rsid w:val="00D76185"/>
    <w:rsid w:val="00D7620D"/>
    <w:rsid w:val="00D76283"/>
    <w:rsid w:val="00D762C0"/>
    <w:rsid w:val="00D7653D"/>
    <w:rsid w:val="00D765EF"/>
    <w:rsid w:val="00D7689E"/>
    <w:rsid w:val="00D768CB"/>
    <w:rsid w:val="00D76D2C"/>
    <w:rsid w:val="00D76D48"/>
    <w:rsid w:val="00D76D74"/>
    <w:rsid w:val="00D76DF1"/>
    <w:rsid w:val="00D76E50"/>
    <w:rsid w:val="00D771C2"/>
    <w:rsid w:val="00D77392"/>
    <w:rsid w:val="00D773E8"/>
    <w:rsid w:val="00D7743D"/>
    <w:rsid w:val="00D774BE"/>
    <w:rsid w:val="00D77641"/>
    <w:rsid w:val="00D77642"/>
    <w:rsid w:val="00D77656"/>
    <w:rsid w:val="00D779E5"/>
    <w:rsid w:val="00D77ABC"/>
    <w:rsid w:val="00D77AE8"/>
    <w:rsid w:val="00D77CA8"/>
    <w:rsid w:val="00D800BA"/>
    <w:rsid w:val="00D8011F"/>
    <w:rsid w:val="00D8012A"/>
    <w:rsid w:val="00D801F2"/>
    <w:rsid w:val="00D802C3"/>
    <w:rsid w:val="00D80507"/>
    <w:rsid w:val="00D808A1"/>
    <w:rsid w:val="00D808DE"/>
    <w:rsid w:val="00D80ADB"/>
    <w:rsid w:val="00D80B38"/>
    <w:rsid w:val="00D80B98"/>
    <w:rsid w:val="00D80E81"/>
    <w:rsid w:val="00D80EC7"/>
    <w:rsid w:val="00D8102C"/>
    <w:rsid w:val="00D81367"/>
    <w:rsid w:val="00D816AF"/>
    <w:rsid w:val="00D81924"/>
    <w:rsid w:val="00D81A14"/>
    <w:rsid w:val="00D81CEA"/>
    <w:rsid w:val="00D81FC1"/>
    <w:rsid w:val="00D81FF2"/>
    <w:rsid w:val="00D8218C"/>
    <w:rsid w:val="00D8228F"/>
    <w:rsid w:val="00D822E8"/>
    <w:rsid w:val="00D82312"/>
    <w:rsid w:val="00D825D6"/>
    <w:rsid w:val="00D82603"/>
    <w:rsid w:val="00D82731"/>
    <w:rsid w:val="00D82DEA"/>
    <w:rsid w:val="00D82E77"/>
    <w:rsid w:val="00D82EA9"/>
    <w:rsid w:val="00D82EC0"/>
    <w:rsid w:val="00D83015"/>
    <w:rsid w:val="00D83130"/>
    <w:rsid w:val="00D831A1"/>
    <w:rsid w:val="00D831F5"/>
    <w:rsid w:val="00D83362"/>
    <w:rsid w:val="00D833F8"/>
    <w:rsid w:val="00D83756"/>
    <w:rsid w:val="00D83A1B"/>
    <w:rsid w:val="00D83C58"/>
    <w:rsid w:val="00D83D22"/>
    <w:rsid w:val="00D83FA0"/>
    <w:rsid w:val="00D83FFE"/>
    <w:rsid w:val="00D8424A"/>
    <w:rsid w:val="00D8459E"/>
    <w:rsid w:val="00D845BB"/>
    <w:rsid w:val="00D8488D"/>
    <w:rsid w:val="00D84A8D"/>
    <w:rsid w:val="00D84F7E"/>
    <w:rsid w:val="00D85286"/>
    <w:rsid w:val="00D8539A"/>
    <w:rsid w:val="00D853FF"/>
    <w:rsid w:val="00D858EE"/>
    <w:rsid w:val="00D85922"/>
    <w:rsid w:val="00D85946"/>
    <w:rsid w:val="00D85968"/>
    <w:rsid w:val="00D85A19"/>
    <w:rsid w:val="00D85C69"/>
    <w:rsid w:val="00D85E81"/>
    <w:rsid w:val="00D85EE3"/>
    <w:rsid w:val="00D85F77"/>
    <w:rsid w:val="00D86050"/>
    <w:rsid w:val="00D861F4"/>
    <w:rsid w:val="00D862B2"/>
    <w:rsid w:val="00D864AD"/>
    <w:rsid w:val="00D866A3"/>
    <w:rsid w:val="00D86C3C"/>
    <w:rsid w:val="00D86DC1"/>
    <w:rsid w:val="00D86DCA"/>
    <w:rsid w:val="00D86E1C"/>
    <w:rsid w:val="00D86EC6"/>
    <w:rsid w:val="00D870B2"/>
    <w:rsid w:val="00D8724C"/>
    <w:rsid w:val="00D873ED"/>
    <w:rsid w:val="00D8748A"/>
    <w:rsid w:val="00D874C5"/>
    <w:rsid w:val="00D87601"/>
    <w:rsid w:val="00D878D3"/>
    <w:rsid w:val="00D87919"/>
    <w:rsid w:val="00D87B2E"/>
    <w:rsid w:val="00D87B3F"/>
    <w:rsid w:val="00D87B75"/>
    <w:rsid w:val="00D87CF5"/>
    <w:rsid w:val="00D87E9A"/>
    <w:rsid w:val="00D900A8"/>
    <w:rsid w:val="00D9012B"/>
    <w:rsid w:val="00D905F9"/>
    <w:rsid w:val="00D90750"/>
    <w:rsid w:val="00D9088C"/>
    <w:rsid w:val="00D90905"/>
    <w:rsid w:val="00D909F4"/>
    <w:rsid w:val="00D90B9C"/>
    <w:rsid w:val="00D90C27"/>
    <w:rsid w:val="00D90DB7"/>
    <w:rsid w:val="00D90EB5"/>
    <w:rsid w:val="00D9145D"/>
    <w:rsid w:val="00D91493"/>
    <w:rsid w:val="00D9164C"/>
    <w:rsid w:val="00D91787"/>
    <w:rsid w:val="00D918A9"/>
    <w:rsid w:val="00D91D00"/>
    <w:rsid w:val="00D91D36"/>
    <w:rsid w:val="00D91DC9"/>
    <w:rsid w:val="00D91E2A"/>
    <w:rsid w:val="00D91E7D"/>
    <w:rsid w:val="00D9200F"/>
    <w:rsid w:val="00D922E1"/>
    <w:rsid w:val="00D9253C"/>
    <w:rsid w:val="00D9256F"/>
    <w:rsid w:val="00D92652"/>
    <w:rsid w:val="00D9273B"/>
    <w:rsid w:val="00D92A02"/>
    <w:rsid w:val="00D92C31"/>
    <w:rsid w:val="00D92DCE"/>
    <w:rsid w:val="00D92EE9"/>
    <w:rsid w:val="00D92F2E"/>
    <w:rsid w:val="00D92F74"/>
    <w:rsid w:val="00D930B4"/>
    <w:rsid w:val="00D932B7"/>
    <w:rsid w:val="00D933A2"/>
    <w:rsid w:val="00D933F0"/>
    <w:rsid w:val="00D93681"/>
    <w:rsid w:val="00D936B9"/>
    <w:rsid w:val="00D9383B"/>
    <w:rsid w:val="00D93910"/>
    <w:rsid w:val="00D93B3A"/>
    <w:rsid w:val="00D93E0C"/>
    <w:rsid w:val="00D93F08"/>
    <w:rsid w:val="00D9443E"/>
    <w:rsid w:val="00D944D9"/>
    <w:rsid w:val="00D94540"/>
    <w:rsid w:val="00D945A8"/>
    <w:rsid w:val="00D94680"/>
    <w:rsid w:val="00D9476C"/>
    <w:rsid w:val="00D94A18"/>
    <w:rsid w:val="00D94EB8"/>
    <w:rsid w:val="00D94F03"/>
    <w:rsid w:val="00D94F0A"/>
    <w:rsid w:val="00D9506E"/>
    <w:rsid w:val="00D9530E"/>
    <w:rsid w:val="00D954FF"/>
    <w:rsid w:val="00D955CD"/>
    <w:rsid w:val="00D9564A"/>
    <w:rsid w:val="00D956FE"/>
    <w:rsid w:val="00D957E4"/>
    <w:rsid w:val="00D95911"/>
    <w:rsid w:val="00D9597E"/>
    <w:rsid w:val="00D95E33"/>
    <w:rsid w:val="00D961F8"/>
    <w:rsid w:val="00D96408"/>
    <w:rsid w:val="00D96523"/>
    <w:rsid w:val="00D96555"/>
    <w:rsid w:val="00D96589"/>
    <w:rsid w:val="00D9661B"/>
    <w:rsid w:val="00D96698"/>
    <w:rsid w:val="00D966B0"/>
    <w:rsid w:val="00D968D6"/>
    <w:rsid w:val="00D9696E"/>
    <w:rsid w:val="00D96975"/>
    <w:rsid w:val="00D96AF2"/>
    <w:rsid w:val="00D96B25"/>
    <w:rsid w:val="00D96B5F"/>
    <w:rsid w:val="00D96BBE"/>
    <w:rsid w:val="00D96C3C"/>
    <w:rsid w:val="00D96D54"/>
    <w:rsid w:val="00D96F58"/>
    <w:rsid w:val="00D9750B"/>
    <w:rsid w:val="00D977C6"/>
    <w:rsid w:val="00D9781C"/>
    <w:rsid w:val="00D9784A"/>
    <w:rsid w:val="00D978A5"/>
    <w:rsid w:val="00D978EF"/>
    <w:rsid w:val="00D979C9"/>
    <w:rsid w:val="00D97FB6"/>
    <w:rsid w:val="00DA00B4"/>
    <w:rsid w:val="00DA00D9"/>
    <w:rsid w:val="00DA0391"/>
    <w:rsid w:val="00DA054A"/>
    <w:rsid w:val="00DA05B1"/>
    <w:rsid w:val="00DA05E2"/>
    <w:rsid w:val="00DA069E"/>
    <w:rsid w:val="00DA0760"/>
    <w:rsid w:val="00DA0A13"/>
    <w:rsid w:val="00DA0A1E"/>
    <w:rsid w:val="00DA0C49"/>
    <w:rsid w:val="00DA0CD2"/>
    <w:rsid w:val="00DA0FA4"/>
    <w:rsid w:val="00DA109F"/>
    <w:rsid w:val="00DA11B8"/>
    <w:rsid w:val="00DA1234"/>
    <w:rsid w:val="00DA12E9"/>
    <w:rsid w:val="00DA146E"/>
    <w:rsid w:val="00DA14A4"/>
    <w:rsid w:val="00DA15F5"/>
    <w:rsid w:val="00DA16ED"/>
    <w:rsid w:val="00DA1950"/>
    <w:rsid w:val="00DA1A5F"/>
    <w:rsid w:val="00DA1BF8"/>
    <w:rsid w:val="00DA1EC4"/>
    <w:rsid w:val="00DA2047"/>
    <w:rsid w:val="00DA2195"/>
    <w:rsid w:val="00DA22AF"/>
    <w:rsid w:val="00DA23DC"/>
    <w:rsid w:val="00DA25A4"/>
    <w:rsid w:val="00DA27A7"/>
    <w:rsid w:val="00DA2992"/>
    <w:rsid w:val="00DA29F8"/>
    <w:rsid w:val="00DA2FF4"/>
    <w:rsid w:val="00DA30C6"/>
    <w:rsid w:val="00DA3199"/>
    <w:rsid w:val="00DA3243"/>
    <w:rsid w:val="00DA329F"/>
    <w:rsid w:val="00DA3336"/>
    <w:rsid w:val="00DA35E5"/>
    <w:rsid w:val="00DA382E"/>
    <w:rsid w:val="00DA38A4"/>
    <w:rsid w:val="00DA3A39"/>
    <w:rsid w:val="00DA3D9B"/>
    <w:rsid w:val="00DA3E7B"/>
    <w:rsid w:val="00DA3F4A"/>
    <w:rsid w:val="00DA3FC4"/>
    <w:rsid w:val="00DA3FE4"/>
    <w:rsid w:val="00DA425D"/>
    <w:rsid w:val="00DA4336"/>
    <w:rsid w:val="00DA43E1"/>
    <w:rsid w:val="00DA446C"/>
    <w:rsid w:val="00DA4522"/>
    <w:rsid w:val="00DA456D"/>
    <w:rsid w:val="00DA471B"/>
    <w:rsid w:val="00DA480F"/>
    <w:rsid w:val="00DA488D"/>
    <w:rsid w:val="00DA48FE"/>
    <w:rsid w:val="00DA4BE1"/>
    <w:rsid w:val="00DA4C7B"/>
    <w:rsid w:val="00DA4C9D"/>
    <w:rsid w:val="00DA4DA1"/>
    <w:rsid w:val="00DA4F01"/>
    <w:rsid w:val="00DA5075"/>
    <w:rsid w:val="00DA5104"/>
    <w:rsid w:val="00DA529E"/>
    <w:rsid w:val="00DA5348"/>
    <w:rsid w:val="00DA5723"/>
    <w:rsid w:val="00DA583F"/>
    <w:rsid w:val="00DA58E2"/>
    <w:rsid w:val="00DA5B7D"/>
    <w:rsid w:val="00DA5BE8"/>
    <w:rsid w:val="00DA5C39"/>
    <w:rsid w:val="00DA5D85"/>
    <w:rsid w:val="00DA5DCF"/>
    <w:rsid w:val="00DA5DEA"/>
    <w:rsid w:val="00DA5E6A"/>
    <w:rsid w:val="00DA5F0F"/>
    <w:rsid w:val="00DA60A7"/>
    <w:rsid w:val="00DA634F"/>
    <w:rsid w:val="00DA675E"/>
    <w:rsid w:val="00DA6774"/>
    <w:rsid w:val="00DA6C6E"/>
    <w:rsid w:val="00DA6F61"/>
    <w:rsid w:val="00DA7299"/>
    <w:rsid w:val="00DA7318"/>
    <w:rsid w:val="00DA759F"/>
    <w:rsid w:val="00DA7905"/>
    <w:rsid w:val="00DA79A6"/>
    <w:rsid w:val="00DA7A77"/>
    <w:rsid w:val="00DA7CF7"/>
    <w:rsid w:val="00DA7E2A"/>
    <w:rsid w:val="00DA7EB8"/>
    <w:rsid w:val="00DA7F17"/>
    <w:rsid w:val="00DB0033"/>
    <w:rsid w:val="00DB005B"/>
    <w:rsid w:val="00DB0076"/>
    <w:rsid w:val="00DB01B2"/>
    <w:rsid w:val="00DB0445"/>
    <w:rsid w:val="00DB04EA"/>
    <w:rsid w:val="00DB0673"/>
    <w:rsid w:val="00DB085B"/>
    <w:rsid w:val="00DB0938"/>
    <w:rsid w:val="00DB0999"/>
    <w:rsid w:val="00DB09B0"/>
    <w:rsid w:val="00DB0D46"/>
    <w:rsid w:val="00DB0F43"/>
    <w:rsid w:val="00DB0F5B"/>
    <w:rsid w:val="00DB0F8C"/>
    <w:rsid w:val="00DB103A"/>
    <w:rsid w:val="00DB10CE"/>
    <w:rsid w:val="00DB110C"/>
    <w:rsid w:val="00DB1189"/>
    <w:rsid w:val="00DB13CC"/>
    <w:rsid w:val="00DB1540"/>
    <w:rsid w:val="00DB15BC"/>
    <w:rsid w:val="00DB1779"/>
    <w:rsid w:val="00DB19BF"/>
    <w:rsid w:val="00DB1B2E"/>
    <w:rsid w:val="00DB1DBE"/>
    <w:rsid w:val="00DB1F1C"/>
    <w:rsid w:val="00DB2003"/>
    <w:rsid w:val="00DB21F2"/>
    <w:rsid w:val="00DB23B8"/>
    <w:rsid w:val="00DB2554"/>
    <w:rsid w:val="00DB2C67"/>
    <w:rsid w:val="00DB2FB7"/>
    <w:rsid w:val="00DB31EE"/>
    <w:rsid w:val="00DB34E7"/>
    <w:rsid w:val="00DB37E6"/>
    <w:rsid w:val="00DB3A14"/>
    <w:rsid w:val="00DB3C4E"/>
    <w:rsid w:val="00DB3D2A"/>
    <w:rsid w:val="00DB3F03"/>
    <w:rsid w:val="00DB3F36"/>
    <w:rsid w:val="00DB4164"/>
    <w:rsid w:val="00DB42A8"/>
    <w:rsid w:val="00DB45A9"/>
    <w:rsid w:val="00DB4679"/>
    <w:rsid w:val="00DB4834"/>
    <w:rsid w:val="00DB4968"/>
    <w:rsid w:val="00DB4A1A"/>
    <w:rsid w:val="00DB4A99"/>
    <w:rsid w:val="00DB4BFF"/>
    <w:rsid w:val="00DB4C02"/>
    <w:rsid w:val="00DB4F4B"/>
    <w:rsid w:val="00DB4FEA"/>
    <w:rsid w:val="00DB51DC"/>
    <w:rsid w:val="00DB554B"/>
    <w:rsid w:val="00DB5563"/>
    <w:rsid w:val="00DB5745"/>
    <w:rsid w:val="00DB57B3"/>
    <w:rsid w:val="00DB57C4"/>
    <w:rsid w:val="00DB5B0C"/>
    <w:rsid w:val="00DB5B84"/>
    <w:rsid w:val="00DB5C0E"/>
    <w:rsid w:val="00DB5F33"/>
    <w:rsid w:val="00DB5FC4"/>
    <w:rsid w:val="00DB608B"/>
    <w:rsid w:val="00DB6203"/>
    <w:rsid w:val="00DB6606"/>
    <w:rsid w:val="00DB67F3"/>
    <w:rsid w:val="00DB69BA"/>
    <w:rsid w:val="00DB6F19"/>
    <w:rsid w:val="00DB6F4E"/>
    <w:rsid w:val="00DB6FD9"/>
    <w:rsid w:val="00DB7001"/>
    <w:rsid w:val="00DB7058"/>
    <w:rsid w:val="00DB708B"/>
    <w:rsid w:val="00DB70A6"/>
    <w:rsid w:val="00DB7177"/>
    <w:rsid w:val="00DB72D4"/>
    <w:rsid w:val="00DB75B4"/>
    <w:rsid w:val="00DB7775"/>
    <w:rsid w:val="00DB7865"/>
    <w:rsid w:val="00DB78ED"/>
    <w:rsid w:val="00DB79AA"/>
    <w:rsid w:val="00DB7BF1"/>
    <w:rsid w:val="00DB7C19"/>
    <w:rsid w:val="00DB7EFE"/>
    <w:rsid w:val="00DC0130"/>
    <w:rsid w:val="00DC0432"/>
    <w:rsid w:val="00DC09B9"/>
    <w:rsid w:val="00DC0BE6"/>
    <w:rsid w:val="00DC0D9F"/>
    <w:rsid w:val="00DC0DFF"/>
    <w:rsid w:val="00DC102F"/>
    <w:rsid w:val="00DC10BE"/>
    <w:rsid w:val="00DC1280"/>
    <w:rsid w:val="00DC14C9"/>
    <w:rsid w:val="00DC1568"/>
    <w:rsid w:val="00DC1580"/>
    <w:rsid w:val="00DC162F"/>
    <w:rsid w:val="00DC1B8A"/>
    <w:rsid w:val="00DC1D79"/>
    <w:rsid w:val="00DC1E9E"/>
    <w:rsid w:val="00DC1EE5"/>
    <w:rsid w:val="00DC1F10"/>
    <w:rsid w:val="00DC20CF"/>
    <w:rsid w:val="00DC224B"/>
    <w:rsid w:val="00DC22A2"/>
    <w:rsid w:val="00DC2624"/>
    <w:rsid w:val="00DC2C64"/>
    <w:rsid w:val="00DC2D29"/>
    <w:rsid w:val="00DC2E18"/>
    <w:rsid w:val="00DC2FD4"/>
    <w:rsid w:val="00DC304B"/>
    <w:rsid w:val="00DC30BB"/>
    <w:rsid w:val="00DC31B2"/>
    <w:rsid w:val="00DC31FD"/>
    <w:rsid w:val="00DC3276"/>
    <w:rsid w:val="00DC341B"/>
    <w:rsid w:val="00DC34AA"/>
    <w:rsid w:val="00DC37FB"/>
    <w:rsid w:val="00DC3920"/>
    <w:rsid w:val="00DC3A9B"/>
    <w:rsid w:val="00DC3C5E"/>
    <w:rsid w:val="00DC4027"/>
    <w:rsid w:val="00DC40C9"/>
    <w:rsid w:val="00DC4274"/>
    <w:rsid w:val="00DC45D2"/>
    <w:rsid w:val="00DC4629"/>
    <w:rsid w:val="00DC486A"/>
    <w:rsid w:val="00DC4AB5"/>
    <w:rsid w:val="00DC4D7E"/>
    <w:rsid w:val="00DC529B"/>
    <w:rsid w:val="00DC54FC"/>
    <w:rsid w:val="00DC5506"/>
    <w:rsid w:val="00DC5C95"/>
    <w:rsid w:val="00DC5D78"/>
    <w:rsid w:val="00DC5EDF"/>
    <w:rsid w:val="00DC5F03"/>
    <w:rsid w:val="00DC6081"/>
    <w:rsid w:val="00DC6111"/>
    <w:rsid w:val="00DC620B"/>
    <w:rsid w:val="00DC6232"/>
    <w:rsid w:val="00DC6314"/>
    <w:rsid w:val="00DC649A"/>
    <w:rsid w:val="00DC64D0"/>
    <w:rsid w:val="00DC65AF"/>
    <w:rsid w:val="00DC65F3"/>
    <w:rsid w:val="00DC66B4"/>
    <w:rsid w:val="00DC66F1"/>
    <w:rsid w:val="00DC67E9"/>
    <w:rsid w:val="00DC692E"/>
    <w:rsid w:val="00DC6AE5"/>
    <w:rsid w:val="00DC6B01"/>
    <w:rsid w:val="00DC7176"/>
    <w:rsid w:val="00DC718C"/>
    <w:rsid w:val="00DC732A"/>
    <w:rsid w:val="00DC7666"/>
    <w:rsid w:val="00DC7685"/>
    <w:rsid w:val="00DC76BC"/>
    <w:rsid w:val="00DC77EA"/>
    <w:rsid w:val="00DC7BD5"/>
    <w:rsid w:val="00DC7C47"/>
    <w:rsid w:val="00DD0341"/>
    <w:rsid w:val="00DD04F3"/>
    <w:rsid w:val="00DD070A"/>
    <w:rsid w:val="00DD0AB7"/>
    <w:rsid w:val="00DD0B6B"/>
    <w:rsid w:val="00DD0D4A"/>
    <w:rsid w:val="00DD0D5E"/>
    <w:rsid w:val="00DD0F71"/>
    <w:rsid w:val="00DD11AD"/>
    <w:rsid w:val="00DD135D"/>
    <w:rsid w:val="00DD13C0"/>
    <w:rsid w:val="00DD172B"/>
    <w:rsid w:val="00DD177B"/>
    <w:rsid w:val="00DD17F2"/>
    <w:rsid w:val="00DD192C"/>
    <w:rsid w:val="00DD193F"/>
    <w:rsid w:val="00DD1A13"/>
    <w:rsid w:val="00DD1BC0"/>
    <w:rsid w:val="00DD1BFC"/>
    <w:rsid w:val="00DD1C09"/>
    <w:rsid w:val="00DD1C0D"/>
    <w:rsid w:val="00DD1C87"/>
    <w:rsid w:val="00DD1EA5"/>
    <w:rsid w:val="00DD1F32"/>
    <w:rsid w:val="00DD1F76"/>
    <w:rsid w:val="00DD1FE1"/>
    <w:rsid w:val="00DD208E"/>
    <w:rsid w:val="00DD227F"/>
    <w:rsid w:val="00DD22D8"/>
    <w:rsid w:val="00DD23C5"/>
    <w:rsid w:val="00DD23C6"/>
    <w:rsid w:val="00DD23C7"/>
    <w:rsid w:val="00DD24E3"/>
    <w:rsid w:val="00DD2599"/>
    <w:rsid w:val="00DD267F"/>
    <w:rsid w:val="00DD26DF"/>
    <w:rsid w:val="00DD27C8"/>
    <w:rsid w:val="00DD28CF"/>
    <w:rsid w:val="00DD2A42"/>
    <w:rsid w:val="00DD2A77"/>
    <w:rsid w:val="00DD2DA8"/>
    <w:rsid w:val="00DD2EC6"/>
    <w:rsid w:val="00DD30AF"/>
    <w:rsid w:val="00DD317C"/>
    <w:rsid w:val="00DD333E"/>
    <w:rsid w:val="00DD3620"/>
    <w:rsid w:val="00DD36E4"/>
    <w:rsid w:val="00DD3752"/>
    <w:rsid w:val="00DD39CD"/>
    <w:rsid w:val="00DD3A10"/>
    <w:rsid w:val="00DD3D08"/>
    <w:rsid w:val="00DD411A"/>
    <w:rsid w:val="00DD4129"/>
    <w:rsid w:val="00DD425B"/>
    <w:rsid w:val="00DD42AC"/>
    <w:rsid w:val="00DD49F9"/>
    <w:rsid w:val="00DD4A67"/>
    <w:rsid w:val="00DD4AB1"/>
    <w:rsid w:val="00DD4B07"/>
    <w:rsid w:val="00DD4CBA"/>
    <w:rsid w:val="00DD4DD2"/>
    <w:rsid w:val="00DD4E12"/>
    <w:rsid w:val="00DD5275"/>
    <w:rsid w:val="00DD5612"/>
    <w:rsid w:val="00DD5A11"/>
    <w:rsid w:val="00DD5A1C"/>
    <w:rsid w:val="00DD5B50"/>
    <w:rsid w:val="00DD5D4B"/>
    <w:rsid w:val="00DD5DE5"/>
    <w:rsid w:val="00DD6245"/>
    <w:rsid w:val="00DD62C5"/>
    <w:rsid w:val="00DD6303"/>
    <w:rsid w:val="00DD6304"/>
    <w:rsid w:val="00DD64E4"/>
    <w:rsid w:val="00DD6532"/>
    <w:rsid w:val="00DD66EF"/>
    <w:rsid w:val="00DD6789"/>
    <w:rsid w:val="00DD67BB"/>
    <w:rsid w:val="00DD6910"/>
    <w:rsid w:val="00DD69D9"/>
    <w:rsid w:val="00DD7038"/>
    <w:rsid w:val="00DD7077"/>
    <w:rsid w:val="00DD7202"/>
    <w:rsid w:val="00DD721A"/>
    <w:rsid w:val="00DD72A8"/>
    <w:rsid w:val="00DD74A4"/>
    <w:rsid w:val="00DD772F"/>
    <w:rsid w:val="00DD774A"/>
    <w:rsid w:val="00DD7AE5"/>
    <w:rsid w:val="00DD7B1A"/>
    <w:rsid w:val="00DD7D5D"/>
    <w:rsid w:val="00DD7D7B"/>
    <w:rsid w:val="00DD7DD1"/>
    <w:rsid w:val="00DD7E7F"/>
    <w:rsid w:val="00DD7F17"/>
    <w:rsid w:val="00DE0011"/>
    <w:rsid w:val="00DE010F"/>
    <w:rsid w:val="00DE02EB"/>
    <w:rsid w:val="00DE04ED"/>
    <w:rsid w:val="00DE06EC"/>
    <w:rsid w:val="00DE07D2"/>
    <w:rsid w:val="00DE07F0"/>
    <w:rsid w:val="00DE0853"/>
    <w:rsid w:val="00DE0880"/>
    <w:rsid w:val="00DE0947"/>
    <w:rsid w:val="00DE0C4B"/>
    <w:rsid w:val="00DE0CC9"/>
    <w:rsid w:val="00DE0E79"/>
    <w:rsid w:val="00DE0E91"/>
    <w:rsid w:val="00DE10E2"/>
    <w:rsid w:val="00DE1336"/>
    <w:rsid w:val="00DE17A1"/>
    <w:rsid w:val="00DE196B"/>
    <w:rsid w:val="00DE1D17"/>
    <w:rsid w:val="00DE1E1F"/>
    <w:rsid w:val="00DE1F48"/>
    <w:rsid w:val="00DE1F70"/>
    <w:rsid w:val="00DE2093"/>
    <w:rsid w:val="00DE2200"/>
    <w:rsid w:val="00DE22D0"/>
    <w:rsid w:val="00DE26FF"/>
    <w:rsid w:val="00DE2721"/>
    <w:rsid w:val="00DE2749"/>
    <w:rsid w:val="00DE2756"/>
    <w:rsid w:val="00DE28C9"/>
    <w:rsid w:val="00DE2A31"/>
    <w:rsid w:val="00DE2C4D"/>
    <w:rsid w:val="00DE2CD3"/>
    <w:rsid w:val="00DE2E06"/>
    <w:rsid w:val="00DE2E68"/>
    <w:rsid w:val="00DE2E8A"/>
    <w:rsid w:val="00DE3001"/>
    <w:rsid w:val="00DE300D"/>
    <w:rsid w:val="00DE34B4"/>
    <w:rsid w:val="00DE3544"/>
    <w:rsid w:val="00DE3725"/>
    <w:rsid w:val="00DE3A26"/>
    <w:rsid w:val="00DE3D2F"/>
    <w:rsid w:val="00DE3FA6"/>
    <w:rsid w:val="00DE42DB"/>
    <w:rsid w:val="00DE4402"/>
    <w:rsid w:val="00DE4677"/>
    <w:rsid w:val="00DE46C9"/>
    <w:rsid w:val="00DE4722"/>
    <w:rsid w:val="00DE47FC"/>
    <w:rsid w:val="00DE486B"/>
    <w:rsid w:val="00DE4968"/>
    <w:rsid w:val="00DE4BFA"/>
    <w:rsid w:val="00DE4C84"/>
    <w:rsid w:val="00DE4EFB"/>
    <w:rsid w:val="00DE4F40"/>
    <w:rsid w:val="00DE5059"/>
    <w:rsid w:val="00DE53C3"/>
    <w:rsid w:val="00DE5480"/>
    <w:rsid w:val="00DE5601"/>
    <w:rsid w:val="00DE577A"/>
    <w:rsid w:val="00DE5785"/>
    <w:rsid w:val="00DE5959"/>
    <w:rsid w:val="00DE596B"/>
    <w:rsid w:val="00DE5A82"/>
    <w:rsid w:val="00DE5EF9"/>
    <w:rsid w:val="00DE5FE9"/>
    <w:rsid w:val="00DE5FF8"/>
    <w:rsid w:val="00DE641B"/>
    <w:rsid w:val="00DE64DD"/>
    <w:rsid w:val="00DE6560"/>
    <w:rsid w:val="00DE6590"/>
    <w:rsid w:val="00DE65D6"/>
    <w:rsid w:val="00DE66DD"/>
    <w:rsid w:val="00DE686F"/>
    <w:rsid w:val="00DE6885"/>
    <w:rsid w:val="00DE6A3D"/>
    <w:rsid w:val="00DE6A97"/>
    <w:rsid w:val="00DE6F2A"/>
    <w:rsid w:val="00DE709A"/>
    <w:rsid w:val="00DE71A6"/>
    <w:rsid w:val="00DE724C"/>
    <w:rsid w:val="00DE72D7"/>
    <w:rsid w:val="00DE74A9"/>
    <w:rsid w:val="00DE74BA"/>
    <w:rsid w:val="00DE7537"/>
    <w:rsid w:val="00DE7A92"/>
    <w:rsid w:val="00DE7B61"/>
    <w:rsid w:val="00DE7C16"/>
    <w:rsid w:val="00DE7DE3"/>
    <w:rsid w:val="00DF005A"/>
    <w:rsid w:val="00DF0340"/>
    <w:rsid w:val="00DF0502"/>
    <w:rsid w:val="00DF061A"/>
    <w:rsid w:val="00DF0B98"/>
    <w:rsid w:val="00DF0BB2"/>
    <w:rsid w:val="00DF0CDF"/>
    <w:rsid w:val="00DF0D49"/>
    <w:rsid w:val="00DF10A3"/>
    <w:rsid w:val="00DF13FD"/>
    <w:rsid w:val="00DF1465"/>
    <w:rsid w:val="00DF1575"/>
    <w:rsid w:val="00DF18D9"/>
    <w:rsid w:val="00DF1903"/>
    <w:rsid w:val="00DF1BB2"/>
    <w:rsid w:val="00DF1D0B"/>
    <w:rsid w:val="00DF1E71"/>
    <w:rsid w:val="00DF1EA6"/>
    <w:rsid w:val="00DF2127"/>
    <w:rsid w:val="00DF21D5"/>
    <w:rsid w:val="00DF2245"/>
    <w:rsid w:val="00DF28F8"/>
    <w:rsid w:val="00DF2A73"/>
    <w:rsid w:val="00DF2BD1"/>
    <w:rsid w:val="00DF2C0A"/>
    <w:rsid w:val="00DF2CEC"/>
    <w:rsid w:val="00DF2D96"/>
    <w:rsid w:val="00DF2DAF"/>
    <w:rsid w:val="00DF2E41"/>
    <w:rsid w:val="00DF30A0"/>
    <w:rsid w:val="00DF3285"/>
    <w:rsid w:val="00DF32DA"/>
    <w:rsid w:val="00DF341A"/>
    <w:rsid w:val="00DF3471"/>
    <w:rsid w:val="00DF3534"/>
    <w:rsid w:val="00DF35C0"/>
    <w:rsid w:val="00DF3891"/>
    <w:rsid w:val="00DF4099"/>
    <w:rsid w:val="00DF4163"/>
    <w:rsid w:val="00DF4288"/>
    <w:rsid w:val="00DF42EF"/>
    <w:rsid w:val="00DF447B"/>
    <w:rsid w:val="00DF47CA"/>
    <w:rsid w:val="00DF47E8"/>
    <w:rsid w:val="00DF49BD"/>
    <w:rsid w:val="00DF4AE0"/>
    <w:rsid w:val="00DF4DAE"/>
    <w:rsid w:val="00DF4EE7"/>
    <w:rsid w:val="00DF517D"/>
    <w:rsid w:val="00DF53D3"/>
    <w:rsid w:val="00DF53E1"/>
    <w:rsid w:val="00DF54E7"/>
    <w:rsid w:val="00DF5749"/>
    <w:rsid w:val="00DF58BD"/>
    <w:rsid w:val="00DF59BD"/>
    <w:rsid w:val="00DF5AE2"/>
    <w:rsid w:val="00DF5B49"/>
    <w:rsid w:val="00DF5F7B"/>
    <w:rsid w:val="00DF60B1"/>
    <w:rsid w:val="00DF60B7"/>
    <w:rsid w:val="00DF619D"/>
    <w:rsid w:val="00DF62EB"/>
    <w:rsid w:val="00DF6310"/>
    <w:rsid w:val="00DF631F"/>
    <w:rsid w:val="00DF641C"/>
    <w:rsid w:val="00DF64C5"/>
    <w:rsid w:val="00DF6566"/>
    <w:rsid w:val="00DF6640"/>
    <w:rsid w:val="00DF6670"/>
    <w:rsid w:val="00DF66D9"/>
    <w:rsid w:val="00DF69F0"/>
    <w:rsid w:val="00DF6F56"/>
    <w:rsid w:val="00DF6FCE"/>
    <w:rsid w:val="00DF7110"/>
    <w:rsid w:val="00DF7382"/>
    <w:rsid w:val="00DF741D"/>
    <w:rsid w:val="00DF748D"/>
    <w:rsid w:val="00DF750A"/>
    <w:rsid w:val="00DF757C"/>
    <w:rsid w:val="00DF79C3"/>
    <w:rsid w:val="00DF7A5A"/>
    <w:rsid w:val="00DF7A92"/>
    <w:rsid w:val="00DF7B51"/>
    <w:rsid w:val="00DF7C96"/>
    <w:rsid w:val="00DF7CA2"/>
    <w:rsid w:val="00DF7CE2"/>
    <w:rsid w:val="00DF7E6C"/>
    <w:rsid w:val="00E001F6"/>
    <w:rsid w:val="00E0025F"/>
    <w:rsid w:val="00E002E4"/>
    <w:rsid w:val="00E0036C"/>
    <w:rsid w:val="00E003CB"/>
    <w:rsid w:val="00E006DD"/>
    <w:rsid w:val="00E0074E"/>
    <w:rsid w:val="00E00801"/>
    <w:rsid w:val="00E009E1"/>
    <w:rsid w:val="00E00AA2"/>
    <w:rsid w:val="00E00B0F"/>
    <w:rsid w:val="00E00BBD"/>
    <w:rsid w:val="00E00C0B"/>
    <w:rsid w:val="00E00D1D"/>
    <w:rsid w:val="00E00D38"/>
    <w:rsid w:val="00E00DAB"/>
    <w:rsid w:val="00E00ECF"/>
    <w:rsid w:val="00E00F52"/>
    <w:rsid w:val="00E0104B"/>
    <w:rsid w:val="00E012D8"/>
    <w:rsid w:val="00E012F4"/>
    <w:rsid w:val="00E0174A"/>
    <w:rsid w:val="00E01DF2"/>
    <w:rsid w:val="00E01FEA"/>
    <w:rsid w:val="00E02271"/>
    <w:rsid w:val="00E022C5"/>
    <w:rsid w:val="00E022D9"/>
    <w:rsid w:val="00E02376"/>
    <w:rsid w:val="00E0241E"/>
    <w:rsid w:val="00E0267A"/>
    <w:rsid w:val="00E02DF0"/>
    <w:rsid w:val="00E02F00"/>
    <w:rsid w:val="00E03055"/>
    <w:rsid w:val="00E033F7"/>
    <w:rsid w:val="00E034C3"/>
    <w:rsid w:val="00E03558"/>
    <w:rsid w:val="00E03562"/>
    <w:rsid w:val="00E037EC"/>
    <w:rsid w:val="00E03A1F"/>
    <w:rsid w:val="00E03A3B"/>
    <w:rsid w:val="00E03AED"/>
    <w:rsid w:val="00E03BAC"/>
    <w:rsid w:val="00E03C24"/>
    <w:rsid w:val="00E03D66"/>
    <w:rsid w:val="00E03E4A"/>
    <w:rsid w:val="00E0400F"/>
    <w:rsid w:val="00E040E2"/>
    <w:rsid w:val="00E04287"/>
    <w:rsid w:val="00E04338"/>
    <w:rsid w:val="00E0434E"/>
    <w:rsid w:val="00E04381"/>
    <w:rsid w:val="00E04591"/>
    <w:rsid w:val="00E04665"/>
    <w:rsid w:val="00E04917"/>
    <w:rsid w:val="00E04A32"/>
    <w:rsid w:val="00E04ADC"/>
    <w:rsid w:val="00E04AE6"/>
    <w:rsid w:val="00E04C77"/>
    <w:rsid w:val="00E04E36"/>
    <w:rsid w:val="00E04E75"/>
    <w:rsid w:val="00E0509B"/>
    <w:rsid w:val="00E0512F"/>
    <w:rsid w:val="00E052A2"/>
    <w:rsid w:val="00E05397"/>
    <w:rsid w:val="00E054BC"/>
    <w:rsid w:val="00E05B8C"/>
    <w:rsid w:val="00E05D0D"/>
    <w:rsid w:val="00E05DE4"/>
    <w:rsid w:val="00E05E53"/>
    <w:rsid w:val="00E05E67"/>
    <w:rsid w:val="00E05FFF"/>
    <w:rsid w:val="00E0613F"/>
    <w:rsid w:val="00E0639A"/>
    <w:rsid w:val="00E065F3"/>
    <w:rsid w:val="00E06603"/>
    <w:rsid w:val="00E06D78"/>
    <w:rsid w:val="00E06E30"/>
    <w:rsid w:val="00E06F8E"/>
    <w:rsid w:val="00E07169"/>
    <w:rsid w:val="00E07244"/>
    <w:rsid w:val="00E0724A"/>
    <w:rsid w:val="00E0726E"/>
    <w:rsid w:val="00E07271"/>
    <w:rsid w:val="00E072D8"/>
    <w:rsid w:val="00E075F5"/>
    <w:rsid w:val="00E076F1"/>
    <w:rsid w:val="00E07913"/>
    <w:rsid w:val="00E07AF5"/>
    <w:rsid w:val="00E07D12"/>
    <w:rsid w:val="00E07E2D"/>
    <w:rsid w:val="00E07F0E"/>
    <w:rsid w:val="00E10351"/>
    <w:rsid w:val="00E10703"/>
    <w:rsid w:val="00E108C0"/>
    <w:rsid w:val="00E109F4"/>
    <w:rsid w:val="00E10C62"/>
    <w:rsid w:val="00E10E24"/>
    <w:rsid w:val="00E10FA8"/>
    <w:rsid w:val="00E11378"/>
    <w:rsid w:val="00E113F2"/>
    <w:rsid w:val="00E1162A"/>
    <w:rsid w:val="00E11741"/>
    <w:rsid w:val="00E11743"/>
    <w:rsid w:val="00E11767"/>
    <w:rsid w:val="00E11A40"/>
    <w:rsid w:val="00E11A95"/>
    <w:rsid w:val="00E11E09"/>
    <w:rsid w:val="00E11F4C"/>
    <w:rsid w:val="00E11F55"/>
    <w:rsid w:val="00E1202D"/>
    <w:rsid w:val="00E122F1"/>
    <w:rsid w:val="00E122F9"/>
    <w:rsid w:val="00E12814"/>
    <w:rsid w:val="00E128FC"/>
    <w:rsid w:val="00E12D4D"/>
    <w:rsid w:val="00E12F21"/>
    <w:rsid w:val="00E12F44"/>
    <w:rsid w:val="00E12FD9"/>
    <w:rsid w:val="00E131F9"/>
    <w:rsid w:val="00E1322A"/>
    <w:rsid w:val="00E1330B"/>
    <w:rsid w:val="00E1355F"/>
    <w:rsid w:val="00E135F4"/>
    <w:rsid w:val="00E1381B"/>
    <w:rsid w:val="00E13A76"/>
    <w:rsid w:val="00E13AEB"/>
    <w:rsid w:val="00E13B4F"/>
    <w:rsid w:val="00E13C51"/>
    <w:rsid w:val="00E13F3F"/>
    <w:rsid w:val="00E13FAF"/>
    <w:rsid w:val="00E1430C"/>
    <w:rsid w:val="00E143E7"/>
    <w:rsid w:val="00E1456F"/>
    <w:rsid w:val="00E14736"/>
    <w:rsid w:val="00E1479E"/>
    <w:rsid w:val="00E14824"/>
    <w:rsid w:val="00E1484A"/>
    <w:rsid w:val="00E14C4C"/>
    <w:rsid w:val="00E14D7B"/>
    <w:rsid w:val="00E14E60"/>
    <w:rsid w:val="00E14F5D"/>
    <w:rsid w:val="00E15036"/>
    <w:rsid w:val="00E150AD"/>
    <w:rsid w:val="00E150EF"/>
    <w:rsid w:val="00E153AE"/>
    <w:rsid w:val="00E15438"/>
    <w:rsid w:val="00E15532"/>
    <w:rsid w:val="00E15AB7"/>
    <w:rsid w:val="00E15B0F"/>
    <w:rsid w:val="00E15C09"/>
    <w:rsid w:val="00E15C19"/>
    <w:rsid w:val="00E15CF5"/>
    <w:rsid w:val="00E1633F"/>
    <w:rsid w:val="00E163B7"/>
    <w:rsid w:val="00E16423"/>
    <w:rsid w:val="00E1644D"/>
    <w:rsid w:val="00E1651E"/>
    <w:rsid w:val="00E165F0"/>
    <w:rsid w:val="00E16693"/>
    <w:rsid w:val="00E16744"/>
    <w:rsid w:val="00E1683C"/>
    <w:rsid w:val="00E16D30"/>
    <w:rsid w:val="00E16E0F"/>
    <w:rsid w:val="00E16EF6"/>
    <w:rsid w:val="00E1702B"/>
    <w:rsid w:val="00E17059"/>
    <w:rsid w:val="00E1707A"/>
    <w:rsid w:val="00E17616"/>
    <w:rsid w:val="00E17667"/>
    <w:rsid w:val="00E17765"/>
    <w:rsid w:val="00E17776"/>
    <w:rsid w:val="00E178DA"/>
    <w:rsid w:val="00E17B84"/>
    <w:rsid w:val="00E17DFE"/>
    <w:rsid w:val="00E203F2"/>
    <w:rsid w:val="00E204AA"/>
    <w:rsid w:val="00E2084F"/>
    <w:rsid w:val="00E20B7D"/>
    <w:rsid w:val="00E20C8D"/>
    <w:rsid w:val="00E20DC3"/>
    <w:rsid w:val="00E20FAB"/>
    <w:rsid w:val="00E2102A"/>
    <w:rsid w:val="00E2118A"/>
    <w:rsid w:val="00E213C3"/>
    <w:rsid w:val="00E2149D"/>
    <w:rsid w:val="00E214E3"/>
    <w:rsid w:val="00E2154A"/>
    <w:rsid w:val="00E2160D"/>
    <w:rsid w:val="00E2191B"/>
    <w:rsid w:val="00E219BF"/>
    <w:rsid w:val="00E21AB0"/>
    <w:rsid w:val="00E21B24"/>
    <w:rsid w:val="00E21EDF"/>
    <w:rsid w:val="00E21F77"/>
    <w:rsid w:val="00E22003"/>
    <w:rsid w:val="00E2213A"/>
    <w:rsid w:val="00E22304"/>
    <w:rsid w:val="00E225E9"/>
    <w:rsid w:val="00E22795"/>
    <w:rsid w:val="00E22797"/>
    <w:rsid w:val="00E2279D"/>
    <w:rsid w:val="00E228B5"/>
    <w:rsid w:val="00E228BA"/>
    <w:rsid w:val="00E229FD"/>
    <w:rsid w:val="00E22A6E"/>
    <w:rsid w:val="00E22C35"/>
    <w:rsid w:val="00E22CB6"/>
    <w:rsid w:val="00E22D30"/>
    <w:rsid w:val="00E22DC7"/>
    <w:rsid w:val="00E22EA2"/>
    <w:rsid w:val="00E22F7B"/>
    <w:rsid w:val="00E22F97"/>
    <w:rsid w:val="00E232EF"/>
    <w:rsid w:val="00E235FD"/>
    <w:rsid w:val="00E236BA"/>
    <w:rsid w:val="00E2393E"/>
    <w:rsid w:val="00E23DE6"/>
    <w:rsid w:val="00E23F4C"/>
    <w:rsid w:val="00E247A1"/>
    <w:rsid w:val="00E24870"/>
    <w:rsid w:val="00E2489A"/>
    <w:rsid w:val="00E248EB"/>
    <w:rsid w:val="00E24A4B"/>
    <w:rsid w:val="00E24AD0"/>
    <w:rsid w:val="00E24B38"/>
    <w:rsid w:val="00E24E9E"/>
    <w:rsid w:val="00E25066"/>
    <w:rsid w:val="00E25250"/>
    <w:rsid w:val="00E25291"/>
    <w:rsid w:val="00E2548D"/>
    <w:rsid w:val="00E258DC"/>
    <w:rsid w:val="00E259C5"/>
    <w:rsid w:val="00E25C0A"/>
    <w:rsid w:val="00E25CE8"/>
    <w:rsid w:val="00E25E51"/>
    <w:rsid w:val="00E260AE"/>
    <w:rsid w:val="00E260ED"/>
    <w:rsid w:val="00E26132"/>
    <w:rsid w:val="00E2620E"/>
    <w:rsid w:val="00E26280"/>
    <w:rsid w:val="00E26452"/>
    <w:rsid w:val="00E266F9"/>
    <w:rsid w:val="00E26813"/>
    <w:rsid w:val="00E2681A"/>
    <w:rsid w:val="00E269B4"/>
    <w:rsid w:val="00E26AE2"/>
    <w:rsid w:val="00E26C50"/>
    <w:rsid w:val="00E26EF8"/>
    <w:rsid w:val="00E27101"/>
    <w:rsid w:val="00E27129"/>
    <w:rsid w:val="00E27189"/>
    <w:rsid w:val="00E273F1"/>
    <w:rsid w:val="00E2771F"/>
    <w:rsid w:val="00E27C7F"/>
    <w:rsid w:val="00E27CD7"/>
    <w:rsid w:val="00E300AE"/>
    <w:rsid w:val="00E3030D"/>
    <w:rsid w:val="00E3077B"/>
    <w:rsid w:val="00E30876"/>
    <w:rsid w:val="00E308C8"/>
    <w:rsid w:val="00E30976"/>
    <w:rsid w:val="00E309DA"/>
    <w:rsid w:val="00E30C88"/>
    <w:rsid w:val="00E30D64"/>
    <w:rsid w:val="00E30E78"/>
    <w:rsid w:val="00E30F33"/>
    <w:rsid w:val="00E30FF7"/>
    <w:rsid w:val="00E31037"/>
    <w:rsid w:val="00E310E3"/>
    <w:rsid w:val="00E3119D"/>
    <w:rsid w:val="00E3124E"/>
    <w:rsid w:val="00E31301"/>
    <w:rsid w:val="00E31375"/>
    <w:rsid w:val="00E31464"/>
    <w:rsid w:val="00E314E6"/>
    <w:rsid w:val="00E314F5"/>
    <w:rsid w:val="00E3158A"/>
    <w:rsid w:val="00E316A9"/>
    <w:rsid w:val="00E317A0"/>
    <w:rsid w:val="00E3194D"/>
    <w:rsid w:val="00E31AF2"/>
    <w:rsid w:val="00E31EC7"/>
    <w:rsid w:val="00E31F46"/>
    <w:rsid w:val="00E31F92"/>
    <w:rsid w:val="00E320C1"/>
    <w:rsid w:val="00E3221D"/>
    <w:rsid w:val="00E3233A"/>
    <w:rsid w:val="00E323C1"/>
    <w:rsid w:val="00E324AB"/>
    <w:rsid w:val="00E325E8"/>
    <w:rsid w:val="00E32777"/>
    <w:rsid w:val="00E329C7"/>
    <w:rsid w:val="00E32A0E"/>
    <w:rsid w:val="00E32AA0"/>
    <w:rsid w:val="00E32B1C"/>
    <w:rsid w:val="00E32BBB"/>
    <w:rsid w:val="00E32C28"/>
    <w:rsid w:val="00E32C3D"/>
    <w:rsid w:val="00E32D0D"/>
    <w:rsid w:val="00E32D6F"/>
    <w:rsid w:val="00E32DB7"/>
    <w:rsid w:val="00E32DEC"/>
    <w:rsid w:val="00E32E2F"/>
    <w:rsid w:val="00E32EDA"/>
    <w:rsid w:val="00E33227"/>
    <w:rsid w:val="00E33659"/>
    <w:rsid w:val="00E337E8"/>
    <w:rsid w:val="00E33965"/>
    <w:rsid w:val="00E33A9F"/>
    <w:rsid w:val="00E33ACF"/>
    <w:rsid w:val="00E33D0F"/>
    <w:rsid w:val="00E33D3D"/>
    <w:rsid w:val="00E33D4D"/>
    <w:rsid w:val="00E33F73"/>
    <w:rsid w:val="00E34049"/>
    <w:rsid w:val="00E340BB"/>
    <w:rsid w:val="00E34217"/>
    <w:rsid w:val="00E34266"/>
    <w:rsid w:val="00E34288"/>
    <w:rsid w:val="00E343C1"/>
    <w:rsid w:val="00E34452"/>
    <w:rsid w:val="00E34520"/>
    <w:rsid w:val="00E346EB"/>
    <w:rsid w:val="00E34CF0"/>
    <w:rsid w:val="00E34D1E"/>
    <w:rsid w:val="00E35340"/>
    <w:rsid w:val="00E35424"/>
    <w:rsid w:val="00E355C3"/>
    <w:rsid w:val="00E35C1C"/>
    <w:rsid w:val="00E36008"/>
    <w:rsid w:val="00E3631C"/>
    <w:rsid w:val="00E363B3"/>
    <w:rsid w:val="00E36505"/>
    <w:rsid w:val="00E36559"/>
    <w:rsid w:val="00E36D0F"/>
    <w:rsid w:val="00E36D75"/>
    <w:rsid w:val="00E36EA8"/>
    <w:rsid w:val="00E37073"/>
    <w:rsid w:val="00E37223"/>
    <w:rsid w:val="00E3730D"/>
    <w:rsid w:val="00E37325"/>
    <w:rsid w:val="00E3772C"/>
    <w:rsid w:val="00E3793A"/>
    <w:rsid w:val="00E37948"/>
    <w:rsid w:val="00E379D7"/>
    <w:rsid w:val="00E37A19"/>
    <w:rsid w:val="00E37A95"/>
    <w:rsid w:val="00E37AE4"/>
    <w:rsid w:val="00E37BA9"/>
    <w:rsid w:val="00E37F64"/>
    <w:rsid w:val="00E37F79"/>
    <w:rsid w:val="00E37FBA"/>
    <w:rsid w:val="00E400D5"/>
    <w:rsid w:val="00E402A7"/>
    <w:rsid w:val="00E403AA"/>
    <w:rsid w:val="00E40409"/>
    <w:rsid w:val="00E4040D"/>
    <w:rsid w:val="00E40AFF"/>
    <w:rsid w:val="00E40B42"/>
    <w:rsid w:val="00E40B67"/>
    <w:rsid w:val="00E40B68"/>
    <w:rsid w:val="00E40D97"/>
    <w:rsid w:val="00E414FF"/>
    <w:rsid w:val="00E41514"/>
    <w:rsid w:val="00E41749"/>
    <w:rsid w:val="00E417C2"/>
    <w:rsid w:val="00E41D23"/>
    <w:rsid w:val="00E41ED1"/>
    <w:rsid w:val="00E42050"/>
    <w:rsid w:val="00E42202"/>
    <w:rsid w:val="00E42312"/>
    <w:rsid w:val="00E42444"/>
    <w:rsid w:val="00E424D3"/>
    <w:rsid w:val="00E42656"/>
    <w:rsid w:val="00E42709"/>
    <w:rsid w:val="00E427A0"/>
    <w:rsid w:val="00E42836"/>
    <w:rsid w:val="00E428FE"/>
    <w:rsid w:val="00E4296F"/>
    <w:rsid w:val="00E429BE"/>
    <w:rsid w:val="00E42A43"/>
    <w:rsid w:val="00E42BF2"/>
    <w:rsid w:val="00E42BF4"/>
    <w:rsid w:val="00E42CD3"/>
    <w:rsid w:val="00E42E1A"/>
    <w:rsid w:val="00E42E3C"/>
    <w:rsid w:val="00E43352"/>
    <w:rsid w:val="00E4337E"/>
    <w:rsid w:val="00E434BD"/>
    <w:rsid w:val="00E4355C"/>
    <w:rsid w:val="00E4360C"/>
    <w:rsid w:val="00E437B8"/>
    <w:rsid w:val="00E438A6"/>
    <w:rsid w:val="00E439E5"/>
    <w:rsid w:val="00E43C11"/>
    <w:rsid w:val="00E43DDA"/>
    <w:rsid w:val="00E43E1C"/>
    <w:rsid w:val="00E44199"/>
    <w:rsid w:val="00E442B8"/>
    <w:rsid w:val="00E443EF"/>
    <w:rsid w:val="00E4446D"/>
    <w:rsid w:val="00E4450F"/>
    <w:rsid w:val="00E4454D"/>
    <w:rsid w:val="00E44633"/>
    <w:rsid w:val="00E44645"/>
    <w:rsid w:val="00E44657"/>
    <w:rsid w:val="00E4474C"/>
    <w:rsid w:val="00E447FF"/>
    <w:rsid w:val="00E4496F"/>
    <w:rsid w:val="00E44BE8"/>
    <w:rsid w:val="00E44C8B"/>
    <w:rsid w:val="00E44CB0"/>
    <w:rsid w:val="00E44DF5"/>
    <w:rsid w:val="00E44E42"/>
    <w:rsid w:val="00E4503E"/>
    <w:rsid w:val="00E45252"/>
    <w:rsid w:val="00E452FD"/>
    <w:rsid w:val="00E453FF"/>
    <w:rsid w:val="00E45419"/>
    <w:rsid w:val="00E45AC5"/>
    <w:rsid w:val="00E45B7F"/>
    <w:rsid w:val="00E45C1E"/>
    <w:rsid w:val="00E45C7A"/>
    <w:rsid w:val="00E45E00"/>
    <w:rsid w:val="00E45EB1"/>
    <w:rsid w:val="00E45EE6"/>
    <w:rsid w:val="00E460D1"/>
    <w:rsid w:val="00E460ED"/>
    <w:rsid w:val="00E46278"/>
    <w:rsid w:val="00E462EC"/>
    <w:rsid w:val="00E46401"/>
    <w:rsid w:val="00E4680F"/>
    <w:rsid w:val="00E46C96"/>
    <w:rsid w:val="00E46F70"/>
    <w:rsid w:val="00E47183"/>
    <w:rsid w:val="00E47238"/>
    <w:rsid w:val="00E478C5"/>
    <w:rsid w:val="00E479D3"/>
    <w:rsid w:val="00E479D8"/>
    <w:rsid w:val="00E47C6D"/>
    <w:rsid w:val="00E47D01"/>
    <w:rsid w:val="00E47D5D"/>
    <w:rsid w:val="00E47E4E"/>
    <w:rsid w:val="00E47E5E"/>
    <w:rsid w:val="00E50092"/>
    <w:rsid w:val="00E501FB"/>
    <w:rsid w:val="00E50258"/>
    <w:rsid w:val="00E502CF"/>
    <w:rsid w:val="00E50325"/>
    <w:rsid w:val="00E50407"/>
    <w:rsid w:val="00E50443"/>
    <w:rsid w:val="00E50669"/>
    <w:rsid w:val="00E50726"/>
    <w:rsid w:val="00E50960"/>
    <w:rsid w:val="00E50B54"/>
    <w:rsid w:val="00E50CE7"/>
    <w:rsid w:val="00E50D19"/>
    <w:rsid w:val="00E51059"/>
    <w:rsid w:val="00E510A1"/>
    <w:rsid w:val="00E51183"/>
    <w:rsid w:val="00E5128D"/>
    <w:rsid w:val="00E512C0"/>
    <w:rsid w:val="00E513CC"/>
    <w:rsid w:val="00E51560"/>
    <w:rsid w:val="00E5156B"/>
    <w:rsid w:val="00E516D4"/>
    <w:rsid w:val="00E519E8"/>
    <w:rsid w:val="00E51A3A"/>
    <w:rsid w:val="00E51AA6"/>
    <w:rsid w:val="00E51C87"/>
    <w:rsid w:val="00E51E15"/>
    <w:rsid w:val="00E51E40"/>
    <w:rsid w:val="00E51E47"/>
    <w:rsid w:val="00E520DB"/>
    <w:rsid w:val="00E5228F"/>
    <w:rsid w:val="00E524AB"/>
    <w:rsid w:val="00E524F7"/>
    <w:rsid w:val="00E5257B"/>
    <w:rsid w:val="00E525AE"/>
    <w:rsid w:val="00E52644"/>
    <w:rsid w:val="00E52775"/>
    <w:rsid w:val="00E52B79"/>
    <w:rsid w:val="00E52BB8"/>
    <w:rsid w:val="00E52CAC"/>
    <w:rsid w:val="00E52F83"/>
    <w:rsid w:val="00E5300A"/>
    <w:rsid w:val="00E534B1"/>
    <w:rsid w:val="00E5364E"/>
    <w:rsid w:val="00E536CB"/>
    <w:rsid w:val="00E53774"/>
    <w:rsid w:val="00E537C8"/>
    <w:rsid w:val="00E537D6"/>
    <w:rsid w:val="00E537D8"/>
    <w:rsid w:val="00E53846"/>
    <w:rsid w:val="00E53918"/>
    <w:rsid w:val="00E53A9E"/>
    <w:rsid w:val="00E53BDB"/>
    <w:rsid w:val="00E53EA2"/>
    <w:rsid w:val="00E540CC"/>
    <w:rsid w:val="00E54203"/>
    <w:rsid w:val="00E543DF"/>
    <w:rsid w:val="00E5442D"/>
    <w:rsid w:val="00E544E7"/>
    <w:rsid w:val="00E54673"/>
    <w:rsid w:val="00E54705"/>
    <w:rsid w:val="00E54770"/>
    <w:rsid w:val="00E548E4"/>
    <w:rsid w:val="00E54B80"/>
    <w:rsid w:val="00E54CA0"/>
    <w:rsid w:val="00E54D06"/>
    <w:rsid w:val="00E54D07"/>
    <w:rsid w:val="00E54D12"/>
    <w:rsid w:val="00E54D39"/>
    <w:rsid w:val="00E54DDF"/>
    <w:rsid w:val="00E54E17"/>
    <w:rsid w:val="00E54E38"/>
    <w:rsid w:val="00E54F27"/>
    <w:rsid w:val="00E551A9"/>
    <w:rsid w:val="00E55250"/>
    <w:rsid w:val="00E552F8"/>
    <w:rsid w:val="00E553BD"/>
    <w:rsid w:val="00E553D6"/>
    <w:rsid w:val="00E554FD"/>
    <w:rsid w:val="00E5580B"/>
    <w:rsid w:val="00E55856"/>
    <w:rsid w:val="00E5586E"/>
    <w:rsid w:val="00E55A8C"/>
    <w:rsid w:val="00E55ADA"/>
    <w:rsid w:val="00E55C9E"/>
    <w:rsid w:val="00E55DF5"/>
    <w:rsid w:val="00E55DFA"/>
    <w:rsid w:val="00E55EC9"/>
    <w:rsid w:val="00E55F56"/>
    <w:rsid w:val="00E560CE"/>
    <w:rsid w:val="00E5620F"/>
    <w:rsid w:val="00E563BC"/>
    <w:rsid w:val="00E5656B"/>
    <w:rsid w:val="00E56A29"/>
    <w:rsid w:val="00E56B60"/>
    <w:rsid w:val="00E57076"/>
    <w:rsid w:val="00E570FC"/>
    <w:rsid w:val="00E5721C"/>
    <w:rsid w:val="00E5738D"/>
    <w:rsid w:val="00E573EF"/>
    <w:rsid w:val="00E576CA"/>
    <w:rsid w:val="00E577AE"/>
    <w:rsid w:val="00E57824"/>
    <w:rsid w:val="00E578E8"/>
    <w:rsid w:val="00E57A25"/>
    <w:rsid w:val="00E57C47"/>
    <w:rsid w:val="00E57CBA"/>
    <w:rsid w:val="00E57CE6"/>
    <w:rsid w:val="00E57D98"/>
    <w:rsid w:val="00E57FEE"/>
    <w:rsid w:val="00E6020F"/>
    <w:rsid w:val="00E60516"/>
    <w:rsid w:val="00E605F7"/>
    <w:rsid w:val="00E605FE"/>
    <w:rsid w:val="00E6062C"/>
    <w:rsid w:val="00E60A16"/>
    <w:rsid w:val="00E60BB8"/>
    <w:rsid w:val="00E60C74"/>
    <w:rsid w:val="00E60EC7"/>
    <w:rsid w:val="00E60F1F"/>
    <w:rsid w:val="00E61069"/>
    <w:rsid w:val="00E6106E"/>
    <w:rsid w:val="00E61118"/>
    <w:rsid w:val="00E61457"/>
    <w:rsid w:val="00E616CB"/>
    <w:rsid w:val="00E617B8"/>
    <w:rsid w:val="00E61D5B"/>
    <w:rsid w:val="00E61EB1"/>
    <w:rsid w:val="00E620DA"/>
    <w:rsid w:val="00E6221E"/>
    <w:rsid w:val="00E6223E"/>
    <w:rsid w:val="00E62439"/>
    <w:rsid w:val="00E62488"/>
    <w:rsid w:val="00E624BE"/>
    <w:rsid w:val="00E624E3"/>
    <w:rsid w:val="00E625BD"/>
    <w:rsid w:val="00E625F1"/>
    <w:rsid w:val="00E627D7"/>
    <w:rsid w:val="00E627F3"/>
    <w:rsid w:val="00E62BFD"/>
    <w:rsid w:val="00E62CBF"/>
    <w:rsid w:val="00E62E2A"/>
    <w:rsid w:val="00E62E87"/>
    <w:rsid w:val="00E62F2A"/>
    <w:rsid w:val="00E631E9"/>
    <w:rsid w:val="00E63584"/>
    <w:rsid w:val="00E635C4"/>
    <w:rsid w:val="00E63633"/>
    <w:rsid w:val="00E637AE"/>
    <w:rsid w:val="00E6385F"/>
    <w:rsid w:val="00E63EDF"/>
    <w:rsid w:val="00E63F03"/>
    <w:rsid w:val="00E6401D"/>
    <w:rsid w:val="00E641D3"/>
    <w:rsid w:val="00E64457"/>
    <w:rsid w:val="00E64491"/>
    <w:rsid w:val="00E644FF"/>
    <w:rsid w:val="00E6452D"/>
    <w:rsid w:val="00E64557"/>
    <w:rsid w:val="00E64772"/>
    <w:rsid w:val="00E6477D"/>
    <w:rsid w:val="00E648B9"/>
    <w:rsid w:val="00E64AA6"/>
    <w:rsid w:val="00E64CCC"/>
    <w:rsid w:val="00E64E70"/>
    <w:rsid w:val="00E64F88"/>
    <w:rsid w:val="00E652EC"/>
    <w:rsid w:val="00E652F1"/>
    <w:rsid w:val="00E6536C"/>
    <w:rsid w:val="00E65550"/>
    <w:rsid w:val="00E6563B"/>
    <w:rsid w:val="00E65897"/>
    <w:rsid w:val="00E65B80"/>
    <w:rsid w:val="00E65F50"/>
    <w:rsid w:val="00E65FCE"/>
    <w:rsid w:val="00E65FE0"/>
    <w:rsid w:val="00E6637E"/>
    <w:rsid w:val="00E66459"/>
    <w:rsid w:val="00E664CA"/>
    <w:rsid w:val="00E66679"/>
    <w:rsid w:val="00E66754"/>
    <w:rsid w:val="00E6679B"/>
    <w:rsid w:val="00E66887"/>
    <w:rsid w:val="00E66939"/>
    <w:rsid w:val="00E66A28"/>
    <w:rsid w:val="00E66ADD"/>
    <w:rsid w:val="00E66B53"/>
    <w:rsid w:val="00E66C49"/>
    <w:rsid w:val="00E672EA"/>
    <w:rsid w:val="00E6741A"/>
    <w:rsid w:val="00E67460"/>
    <w:rsid w:val="00E6772A"/>
    <w:rsid w:val="00E677EC"/>
    <w:rsid w:val="00E678E3"/>
    <w:rsid w:val="00E67A4B"/>
    <w:rsid w:val="00E67D2F"/>
    <w:rsid w:val="00E67F66"/>
    <w:rsid w:val="00E700DE"/>
    <w:rsid w:val="00E702FF"/>
    <w:rsid w:val="00E706A6"/>
    <w:rsid w:val="00E70779"/>
    <w:rsid w:val="00E70844"/>
    <w:rsid w:val="00E708AF"/>
    <w:rsid w:val="00E709BF"/>
    <w:rsid w:val="00E70ED8"/>
    <w:rsid w:val="00E70F58"/>
    <w:rsid w:val="00E7101F"/>
    <w:rsid w:val="00E711B6"/>
    <w:rsid w:val="00E7125E"/>
    <w:rsid w:val="00E716C5"/>
    <w:rsid w:val="00E7171C"/>
    <w:rsid w:val="00E719D6"/>
    <w:rsid w:val="00E71A38"/>
    <w:rsid w:val="00E71B17"/>
    <w:rsid w:val="00E71F42"/>
    <w:rsid w:val="00E72272"/>
    <w:rsid w:val="00E72337"/>
    <w:rsid w:val="00E72342"/>
    <w:rsid w:val="00E7256C"/>
    <w:rsid w:val="00E7280E"/>
    <w:rsid w:val="00E72AB0"/>
    <w:rsid w:val="00E72B3C"/>
    <w:rsid w:val="00E72FBE"/>
    <w:rsid w:val="00E73006"/>
    <w:rsid w:val="00E73584"/>
    <w:rsid w:val="00E737BC"/>
    <w:rsid w:val="00E739A5"/>
    <w:rsid w:val="00E73C83"/>
    <w:rsid w:val="00E73CAE"/>
    <w:rsid w:val="00E73D86"/>
    <w:rsid w:val="00E74038"/>
    <w:rsid w:val="00E7406B"/>
    <w:rsid w:val="00E74144"/>
    <w:rsid w:val="00E74166"/>
    <w:rsid w:val="00E741E4"/>
    <w:rsid w:val="00E7430B"/>
    <w:rsid w:val="00E7451C"/>
    <w:rsid w:val="00E745AD"/>
    <w:rsid w:val="00E74839"/>
    <w:rsid w:val="00E74863"/>
    <w:rsid w:val="00E748D0"/>
    <w:rsid w:val="00E7492C"/>
    <w:rsid w:val="00E74AF0"/>
    <w:rsid w:val="00E74B78"/>
    <w:rsid w:val="00E74BE5"/>
    <w:rsid w:val="00E74CC0"/>
    <w:rsid w:val="00E7500C"/>
    <w:rsid w:val="00E752F5"/>
    <w:rsid w:val="00E7535A"/>
    <w:rsid w:val="00E7537A"/>
    <w:rsid w:val="00E7538E"/>
    <w:rsid w:val="00E757F6"/>
    <w:rsid w:val="00E75917"/>
    <w:rsid w:val="00E75B70"/>
    <w:rsid w:val="00E75DF0"/>
    <w:rsid w:val="00E76015"/>
    <w:rsid w:val="00E76105"/>
    <w:rsid w:val="00E763A7"/>
    <w:rsid w:val="00E7648C"/>
    <w:rsid w:val="00E7663B"/>
    <w:rsid w:val="00E76871"/>
    <w:rsid w:val="00E76988"/>
    <w:rsid w:val="00E76992"/>
    <w:rsid w:val="00E769DC"/>
    <w:rsid w:val="00E76A9C"/>
    <w:rsid w:val="00E76AE4"/>
    <w:rsid w:val="00E76E71"/>
    <w:rsid w:val="00E76F32"/>
    <w:rsid w:val="00E77068"/>
    <w:rsid w:val="00E77124"/>
    <w:rsid w:val="00E7712E"/>
    <w:rsid w:val="00E771D3"/>
    <w:rsid w:val="00E775AE"/>
    <w:rsid w:val="00E77693"/>
    <w:rsid w:val="00E7775C"/>
    <w:rsid w:val="00E778D5"/>
    <w:rsid w:val="00E77AB4"/>
    <w:rsid w:val="00E77AC9"/>
    <w:rsid w:val="00E77E47"/>
    <w:rsid w:val="00E77E79"/>
    <w:rsid w:val="00E77F68"/>
    <w:rsid w:val="00E80029"/>
    <w:rsid w:val="00E8012D"/>
    <w:rsid w:val="00E80270"/>
    <w:rsid w:val="00E802B0"/>
    <w:rsid w:val="00E80366"/>
    <w:rsid w:val="00E804CC"/>
    <w:rsid w:val="00E8059B"/>
    <w:rsid w:val="00E805A2"/>
    <w:rsid w:val="00E805B9"/>
    <w:rsid w:val="00E8070A"/>
    <w:rsid w:val="00E807D2"/>
    <w:rsid w:val="00E8091D"/>
    <w:rsid w:val="00E80CA6"/>
    <w:rsid w:val="00E80EEC"/>
    <w:rsid w:val="00E81053"/>
    <w:rsid w:val="00E81072"/>
    <w:rsid w:val="00E811FE"/>
    <w:rsid w:val="00E81273"/>
    <w:rsid w:val="00E8127D"/>
    <w:rsid w:val="00E81395"/>
    <w:rsid w:val="00E81495"/>
    <w:rsid w:val="00E814B4"/>
    <w:rsid w:val="00E8178C"/>
    <w:rsid w:val="00E817A0"/>
    <w:rsid w:val="00E81879"/>
    <w:rsid w:val="00E819B4"/>
    <w:rsid w:val="00E81AA3"/>
    <w:rsid w:val="00E81AD2"/>
    <w:rsid w:val="00E81BD9"/>
    <w:rsid w:val="00E81D3A"/>
    <w:rsid w:val="00E820E0"/>
    <w:rsid w:val="00E8218B"/>
    <w:rsid w:val="00E823CB"/>
    <w:rsid w:val="00E82411"/>
    <w:rsid w:val="00E8251D"/>
    <w:rsid w:val="00E8263A"/>
    <w:rsid w:val="00E826A5"/>
    <w:rsid w:val="00E8271D"/>
    <w:rsid w:val="00E82740"/>
    <w:rsid w:val="00E82B24"/>
    <w:rsid w:val="00E82C5B"/>
    <w:rsid w:val="00E82D6A"/>
    <w:rsid w:val="00E82E23"/>
    <w:rsid w:val="00E82E7D"/>
    <w:rsid w:val="00E83304"/>
    <w:rsid w:val="00E83473"/>
    <w:rsid w:val="00E83675"/>
    <w:rsid w:val="00E83770"/>
    <w:rsid w:val="00E8384F"/>
    <w:rsid w:val="00E83863"/>
    <w:rsid w:val="00E83904"/>
    <w:rsid w:val="00E83961"/>
    <w:rsid w:val="00E839D7"/>
    <w:rsid w:val="00E83B7E"/>
    <w:rsid w:val="00E83B81"/>
    <w:rsid w:val="00E83BD5"/>
    <w:rsid w:val="00E83C2E"/>
    <w:rsid w:val="00E83CCF"/>
    <w:rsid w:val="00E83CF9"/>
    <w:rsid w:val="00E83E74"/>
    <w:rsid w:val="00E8409B"/>
    <w:rsid w:val="00E841CE"/>
    <w:rsid w:val="00E842A8"/>
    <w:rsid w:val="00E8431C"/>
    <w:rsid w:val="00E84537"/>
    <w:rsid w:val="00E845BE"/>
    <w:rsid w:val="00E84871"/>
    <w:rsid w:val="00E8488A"/>
    <w:rsid w:val="00E84A60"/>
    <w:rsid w:val="00E84AF6"/>
    <w:rsid w:val="00E84BCD"/>
    <w:rsid w:val="00E84E4D"/>
    <w:rsid w:val="00E84F07"/>
    <w:rsid w:val="00E85029"/>
    <w:rsid w:val="00E85176"/>
    <w:rsid w:val="00E852E1"/>
    <w:rsid w:val="00E8559A"/>
    <w:rsid w:val="00E855C0"/>
    <w:rsid w:val="00E85670"/>
    <w:rsid w:val="00E8577A"/>
    <w:rsid w:val="00E85802"/>
    <w:rsid w:val="00E858D6"/>
    <w:rsid w:val="00E859F9"/>
    <w:rsid w:val="00E85C21"/>
    <w:rsid w:val="00E85DA3"/>
    <w:rsid w:val="00E85E09"/>
    <w:rsid w:val="00E86067"/>
    <w:rsid w:val="00E86470"/>
    <w:rsid w:val="00E86520"/>
    <w:rsid w:val="00E8687A"/>
    <w:rsid w:val="00E86925"/>
    <w:rsid w:val="00E86956"/>
    <w:rsid w:val="00E86D48"/>
    <w:rsid w:val="00E870BE"/>
    <w:rsid w:val="00E87181"/>
    <w:rsid w:val="00E87498"/>
    <w:rsid w:val="00E875E0"/>
    <w:rsid w:val="00E8760D"/>
    <w:rsid w:val="00E87726"/>
    <w:rsid w:val="00E87BDD"/>
    <w:rsid w:val="00E87D1F"/>
    <w:rsid w:val="00E87ECC"/>
    <w:rsid w:val="00E87FC0"/>
    <w:rsid w:val="00E9006F"/>
    <w:rsid w:val="00E90228"/>
    <w:rsid w:val="00E90291"/>
    <w:rsid w:val="00E90431"/>
    <w:rsid w:val="00E9043A"/>
    <w:rsid w:val="00E9045B"/>
    <w:rsid w:val="00E90844"/>
    <w:rsid w:val="00E908F9"/>
    <w:rsid w:val="00E90916"/>
    <w:rsid w:val="00E9093B"/>
    <w:rsid w:val="00E90953"/>
    <w:rsid w:val="00E9099C"/>
    <w:rsid w:val="00E909CE"/>
    <w:rsid w:val="00E909D1"/>
    <w:rsid w:val="00E909F9"/>
    <w:rsid w:val="00E90C5B"/>
    <w:rsid w:val="00E90ECE"/>
    <w:rsid w:val="00E91034"/>
    <w:rsid w:val="00E913A0"/>
    <w:rsid w:val="00E913B0"/>
    <w:rsid w:val="00E9143C"/>
    <w:rsid w:val="00E915A7"/>
    <w:rsid w:val="00E91743"/>
    <w:rsid w:val="00E91758"/>
    <w:rsid w:val="00E9177D"/>
    <w:rsid w:val="00E9186C"/>
    <w:rsid w:val="00E91994"/>
    <w:rsid w:val="00E91B0F"/>
    <w:rsid w:val="00E91D46"/>
    <w:rsid w:val="00E91F6A"/>
    <w:rsid w:val="00E9208B"/>
    <w:rsid w:val="00E920F9"/>
    <w:rsid w:val="00E92198"/>
    <w:rsid w:val="00E921A1"/>
    <w:rsid w:val="00E9259E"/>
    <w:rsid w:val="00E9273D"/>
    <w:rsid w:val="00E92795"/>
    <w:rsid w:val="00E9283F"/>
    <w:rsid w:val="00E92A30"/>
    <w:rsid w:val="00E92B44"/>
    <w:rsid w:val="00E92DFD"/>
    <w:rsid w:val="00E92E0E"/>
    <w:rsid w:val="00E93229"/>
    <w:rsid w:val="00E93254"/>
    <w:rsid w:val="00E9330F"/>
    <w:rsid w:val="00E93733"/>
    <w:rsid w:val="00E938AB"/>
    <w:rsid w:val="00E93DC6"/>
    <w:rsid w:val="00E93F27"/>
    <w:rsid w:val="00E940F5"/>
    <w:rsid w:val="00E94130"/>
    <w:rsid w:val="00E942E7"/>
    <w:rsid w:val="00E94364"/>
    <w:rsid w:val="00E9470D"/>
    <w:rsid w:val="00E94BA5"/>
    <w:rsid w:val="00E94D32"/>
    <w:rsid w:val="00E94E0C"/>
    <w:rsid w:val="00E94F9D"/>
    <w:rsid w:val="00E9502B"/>
    <w:rsid w:val="00E9525C"/>
    <w:rsid w:val="00E9529A"/>
    <w:rsid w:val="00E954BE"/>
    <w:rsid w:val="00E9551D"/>
    <w:rsid w:val="00E95961"/>
    <w:rsid w:val="00E95DD1"/>
    <w:rsid w:val="00E95EA2"/>
    <w:rsid w:val="00E95F63"/>
    <w:rsid w:val="00E95FA4"/>
    <w:rsid w:val="00E9606C"/>
    <w:rsid w:val="00E96074"/>
    <w:rsid w:val="00E96218"/>
    <w:rsid w:val="00E9625E"/>
    <w:rsid w:val="00E96343"/>
    <w:rsid w:val="00E963B6"/>
    <w:rsid w:val="00E9640C"/>
    <w:rsid w:val="00E96533"/>
    <w:rsid w:val="00E96583"/>
    <w:rsid w:val="00E967BE"/>
    <w:rsid w:val="00E96977"/>
    <w:rsid w:val="00E96A1E"/>
    <w:rsid w:val="00E96AF3"/>
    <w:rsid w:val="00E96B80"/>
    <w:rsid w:val="00E96C02"/>
    <w:rsid w:val="00E96E38"/>
    <w:rsid w:val="00E96F21"/>
    <w:rsid w:val="00E9719F"/>
    <w:rsid w:val="00E9736E"/>
    <w:rsid w:val="00E973D4"/>
    <w:rsid w:val="00E97489"/>
    <w:rsid w:val="00E974F7"/>
    <w:rsid w:val="00E97702"/>
    <w:rsid w:val="00E977A1"/>
    <w:rsid w:val="00E977E5"/>
    <w:rsid w:val="00E97AAE"/>
    <w:rsid w:val="00E97BD0"/>
    <w:rsid w:val="00E97BF2"/>
    <w:rsid w:val="00E97C79"/>
    <w:rsid w:val="00E97ECD"/>
    <w:rsid w:val="00E97FBD"/>
    <w:rsid w:val="00EA00A2"/>
    <w:rsid w:val="00EA013A"/>
    <w:rsid w:val="00EA04FC"/>
    <w:rsid w:val="00EA0505"/>
    <w:rsid w:val="00EA053A"/>
    <w:rsid w:val="00EA0668"/>
    <w:rsid w:val="00EA06AA"/>
    <w:rsid w:val="00EA0772"/>
    <w:rsid w:val="00EA07AD"/>
    <w:rsid w:val="00EA08EE"/>
    <w:rsid w:val="00EA08F2"/>
    <w:rsid w:val="00EA0A08"/>
    <w:rsid w:val="00EA0AE3"/>
    <w:rsid w:val="00EA0B72"/>
    <w:rsid w:val="00EA0D0C"/>
    <w:rsid w:val="00EA0DD6"/>
    <w:rsid w:val="00EA0E37"/>
    <w:rsid w:val="00EA0FF0"/>
    <w:rsid w:val="00EA11EA"/>
    <w:rsid w:val="00EA16B3"/>
    <w:rsid w:val="00EA1AF2"/>
    <w:rsid w:val="00EA1C82"/>
    <w:rsid w:val="00EA1E1B"/>
    <w:rsid w:val="00EA2738"/>
    <w:rsid w:val="00EA273F"/>
    <w:rsid w:val="00EA28D3"/>
    <w:rsid w:val="00EA2995"/>
    <w:rsid w:val="00EA2BE0"/>
    <w:rsid w:val="00EA2E18"/>
    <w:rsid w:val="00EA2E6B"/>
    <w:rsid w:val="00EA2EA3"/>
    <w:rsid w:val="00EA2EF8"/>
    <w:rsid w:val="00EA3233"/>
    <w:rsid w:val="00EA32BC"/>
    <w:rsid w:val="00EA35EF"/>
    <w:rsid w:val="00EA38AF"/>
    <w:rsid w:val="00EA394C"/>
    <w:rsid w:val="00EA41F9"/>
    <w:rsid w:val="00EA4210"/>
    <w:rsid w:val="00EA4349"/>
    <w:rsid w:val="00EA439D"/>
    <w:rsid w:val="00EA43BB"/>
    <w:rsid w:val="00EA43CC"/>
    <w:rsid w:val="00EA43CD"/>
    <w:rsid w:val="00EA4475"/>
    <w:rsid w:val="00EA46BA"/>
    <w:rsid w:val="00EA46CB"/>
    <w:rsid w:val="00EA46DE"/>
    <w:rsid w:val="00EA4913"/>
    <w:rsid w:val="00EA4AA3"/>
    <w:rsid w:val="00EA4AAD"/>
    <w:rsid w:val="00EA4D99"/>
    <w:rsid w:val="00EA4DA3"/>
    <w:rsid w:val="00EA4DCB"/>
    <w:rsid w:val="00EA4DFC"/>
    <w:rsid w:val="00EA4E20"/>
    <w:rsid w:val="00EA5290"/>
    <w:rsid w:val="00EA530F"/>
    <w:rsid w:val="00EA5564"/>
    <w:rsid w:val="00EA55E8"/>
    <w:rsid w:val="00EA590E"/>
    <w:rsid w:val="00EA5C1C"/>
    <w:rsid w:val="00EA5D19"/>
    <w:rsid w:val="00EA5E57"/>
    <w:rsid w:val="00EA6088"/>
    <w:rsid w:val="00EA616B"/>
    <w:rsid w:val="00EA61BB"/>
    <w:rsid w:val="00EA62D0"/>
    <w:rsid w:val="00EA62EC"/>
    <w:rsid w:val="00EA6325"/>
    <w:rsid w:val="00EA636B"/>
    <w:rsid w:val="00EA647F"/>
    <w:rsid w:val="00EA664C"/>
    <w:rsid w:val="00EA6721"/>
    <w:rsid w:val="00EA6728"/>
    <w:rsid w:val="00EA7109"/>
    <w:rsid w:val="00EA713F"/>
    <w:rsid w:val="00EA7348"/>
    <w:rsid w:val="00EA739C"/>
    <w:rsid w:val="00EA73BF"/>
    <w:rsid w:val="00EA7459"/>
    <w:rsid w:val="00EA765A"/>
    <w:rsid w:val="00EA76A9"/>
    <w:rsid w:val="00EA7A56"/>
    <w:rsid w:val="00EA7BD6"/>
    <w:rsid w:val="00EA7BFC"/>
    <w:rsid w:val="00EA7D75"/>
    <w:rsid w:val="00EA7D9E"/>
    <w:rsid w:val="00EA7DD7"/>
    <w:rsid w:val="00EA7F4A"/>
    <w:rsid w:val="00EB00FA"/>
    <w:rsid w:val="00EB03C5"/>
    <w:rsid w:val="00EB0595"/>
    <w:rsid w:val="00EB07A9"/>
    <w:rsid w:val="00EB08E8"/>
    <w:rsid w:val="00EB0A00"/>
    <w:rsid w:val="00EB0A51"/>
    <w:rsid w:val="00EB0BC6"/>
    <w:rsid w:val="00EB0FE0"/>
    <w:rsid w:val="00EB0FF7"/>
    <w:rsid w:val="00EB100B"/>
    <w:rsid w:val="00EB103A"/>
    <w:rsid w:val="00EB11ED"/>
    <w:rsid w:val="00EB1223"/>
    <w:rsid w:val="00EB1487"/>
    <w:rsid w:val="00EB148C"/>
    <w:rsid w:val="00EB14ED"/>
    <w:rsid w:val="00EB158D"/>
    <w:rsid w:val="00EB1608"/>
    <w:rsid w:val="00EB16D3"/>
    <w:rsid w:val="00EB18C3"/>
    <w:rsid w:val="00EB1B01"/>
    <w:rsid w:val="00EB1C15"/>
    <w:rsid w:val="00EB1E4D"/>
    <w:rsid w:val="00EB1E86"/>
    <w:rsid w:val="00EB2109"/>
    <w:rsid w:val="00EB22F1"/>
    <w:rsid w:val="00EB2445"/>
    <w:rsid w:val="00EB2583"/>
    <w:rsid w:val="00EB26B1"/>
    <w:rsid w:val="00EB2725"/>
    <w:rsid w:val="00EB28A5"/>
    <w:rsid w:val="00EB28C3"/>
    <w:rsid w:val="00EB2D55"/>
    <w:rsid w:val="00EB2E2B"/>
    <w:rsid w:val="00EB2E67"/>
    <w:rsid w:val="00EB2E7D"/>
    <w:rsid w:val="00EB2F73"/>
    <w:rsid w:val="00EB30B8"/>
    <w:rsid w:val="00EB314A"/>
    <w:rsid w:val="00EB32C7"/>
    <w:rsid w:val="00EB3A9A"/>
    <w:rsid w:val="00EB3C4D"/>
    <w:rsid w:val="00EB3C5E"/>
    <w:rsid w:val="00EB4034"/>
    <w:rsid w:val="00EB409C"/>
    <w:rsid w:val="00EB411E"/>
    <w:rsid w:val="00EB41CA"/>
    <w:rsid w:val="00EB425C"/>
    <w:rsid w:val="00EB42F7"/>
    <w:rsid w:val="00EB44DA"/>
    <w:rsid w:val="00EB468E"/>
    <w:rsid w:val="00EB46F8"/>
    <w:rsid w:val="00EB4877"/>
    <w:rsid w:val="00EB489A"/>
    <w:rsid w:val="00EB4A6C"/>
    <w:rsid w:val="00EB4D62"/>
    <w:rsid w:val="00EB4F11"/>
    <w:rsid w:val="00EB4F7C"/>
    <w:rsid w:val="00EB50C0"/>
    <w:rsid w:val="00EB514A"/>
    <w:rsid w:val="00EB5247"/>
    <w:rsid w:val="00EB538C"/>
    <w:rsid w:val="00EB572C"/>
    <w:rsid w:val="00EB574A"/>
    <w:rsid w:val="00EB5940"/>
    <w:rsid w:val="00EB5A69"/>
    <w:rsid w:val="00EB5C3C"/>
    <w:rsid w:val="00EB5D6B"/>
    <w:rsid w:val="00EB5E0C"/>
    <w:rsid w:val="00EB60B1"/>
    <w:rsid w:val="00EB6275"/>
    <w:rsid w:val="00EB64FB"/>
    <w:rsid w:val="00EB6504"/>
    <w:rsid w:val="00EB665C"/>
    <w:rsid w:val="00EB6850"/>
    <w:rsid w:val="00EB6A8F"/>
    <w:rsid w:val="00EB6BFF"/>
    <w:rsid w:val="00EB6CC7"/>
    <w:rsid w:val="00EB6D2D"/>
    <w:rsid w:val="00EB6FC2"/>
    <w:rsid w:val="00EB70DB"/>
    <w:rsid w:val="00EB7189"/>
    <w:rsid w:val="00EB7295"/>
    <w:rsid w:val="00EB7318"/>
    <w:rsid w:val="00EB7725"/>
    <w:rsid w:val="00EC01F2"/>
    <w:rsid w:val="00EC0288"/>
    <w:rsid w:val="00EC05AD"/>
    <w:rsid w:val="00EC05FF"/>
    <w:rsid w:val="00EC077D"/>
    <w:rsid w:val="00EC0824"/>
    <w:rsid w:val="00EC0984"/>
    <w:rsid w:val="00EC09D6"/>
    <w:rsid w:val="00EC0A51"/>
    <w:rsid w:val="00EC0C64"/>
    <w:rsid w:val="00EC0DA1"/>
    <w:rsid w:val="00EC0DB6"/>
    <w:rsid w:val="00EC0E7E"/>
    <w:rsid w:val="00EC0F59"/>
    <w:rsid w:val="00EC0F5C"/>
    <w:rsid w:val="00EC106D"/>
    <w:rsid w:val="00EC10E2"/>
    <w:rsid w:val="00EC1141"/>
    <w:rsid w:val="00EC13A3"/>
    <w:rsid w:val="00EC1403"/>
    <w:rsid w:val="00EC14C3"/>
    <w:rsid w:val="00EC1648"/>
    <w:rsid w:val="00EC1715"/>
    <w:rsid w:val="00EC180D"/>
    <w:rsid w:val="00EC1814"/>
    <w:rsid w:val="00EC1943"/>
    <w:rsid w:val="00EC1A15"/>
    <w:rsid w:val="00EC1CDE"/>
    <w:rsid w:val="00EC1DB3"/>
    <w:rsid w:val="00EC1DF4"/>
    <w:rsid w:val="00EC1FBC"/>
    <w:rsid w:val="00EC2354"/>
    <w:rsid w:val="00EC25EA"/>
    <w:rsid w:val="00EC2603"/>
    <w:rsid w:val="00EC27B4"/>
    <w:rsid w:val="00EC281F"/>
    <w:rsid w:val="00EC2933"/>
    <w:rsid w:val="00EC2A00"/>
    <w:rsid w:val="00EC2C39"/>
    <w:rsid w:val="00EC2C74"/>
    <w:rsid w:val="00EC2E7C"/>
    <w:rsid w:val="00EC2F66"/>
    <w:rsid w:val="00EC30DD"/>
    <w:rsid w:val="00EC3218"/>
    <w:rsid w:val="00EC3521"/>
    <w:rsid w:val="00EC36BF"/>
    <w:rsid w:val="00EC3859"/>
    <w:rsid w:val="00EC38BD"/>
    <w:rsid w:val="00EC3A06"/>
    <w:rsid w:val="00EC3B01"/>
    <w:rsid w:val="00EC3BE3"/>
    <w:rsid w:val="00EC3C38"/>
    <w:rsid w:val="00EC3C3A"/>
    <w:rsid w:val="00EC3F14"/>
    <w:rsid w:val="00EC4038"/>
    <w:rsid w:val="00EC4648"/>
    <w:rsid w:val="00EC47D2"/>
    <w:rsid w:val="00EC4A85"/>
    <w:rsid w:val="00EC4B6C"/>
    <w:rsid w:val="00EC4D4D"/>
    <w:rsid w:val="00EC4FFD"/>
    <w:rsid w:val="00EC524F"/>
    <w:rsid w:val="00EC53B8"/>
    <w:rsid w:val="00EC5435"/>
    <w:rsid w:val="00EC54D0"/>
    <w:rsid w:val="00EC57F4"/>
    <w:rsid w:val="00EC5897"/>
    <w:rsid w:val="00EC5B5E"/>
    <w:rsid w:val="00EC5CBE"/>
    <w:rsid w:val="00EC5E1F"/>
    <w:rsid w:val="00EC5EEA"/>
    <w:rsid w:val="00EC6101"/>
    <w:rsid w:val="00EC623A"/>
    <w:rsid w:val="00EC6294"/>
    <w:rsid w:val="00EC643A"/>
    <w:rsid w:val="00EC6453"/>
    <w:rsid w:val="00EC664A"/>
    <w:rsid w:val="00EC6A01"/>
    <w:rsid w:val="00EC6A65"/>
    <w:rsid w:val="00EC6BD9"/>
    <w:rsid w:val="00EC6C3B"/>
    <w:rsid w:val="00EC6C90"/>
    <w:rsid w:val="00EC6D83"/>
    <w:rsid w:val="00EC706E"/>
    <w:rsid w:val="00EC7166"/>
    <w:rsid w:val="00EC72A7"/>
    <w:rsid w:val="00EC73F1"/>
    <w:rsid w:val="00EC7447"/>
    <w:rsid w:val="00EC74F1"/>
    <w:rsid w:val="00EC79B2"/>
    <w:rsid w:val="00EC7C8B"/>
    <w:rsid w:val="00EC7CFA"/>
    <w:rsid w:val="00EC7F07"/>
    <w:rsid w:val="00EC7F5A"/>
    <w:rsid w:val="00ED023D"/>
    <w:rsid w:val="00ED02A0"/>
    <w:rsid w:val="00ED0336"/>
    <w:rsid w:val="00ED034D"/>
    <w:rsid w:val="00ED0356"/>
    <w:rsid w:val="00ED05A4"/>
    <w:rsid w:val="00ED0660"/>
    <w:rsid w:val="00ED0685"/>
    <w:rsid w:val="00ED06E7"/>
    <w:rsid w:val="00ED075F"/>
    <w:rsid w:val="00ED079B"/>
    <w:rsid w:val="00ED09F7"/>
    <w:rsid w:val="00ED0B2D"/>
    <w:rsid w:val="00ED0C69"/>
    <w:rsid w:val="00ED0DD3"/>
    <w:rsid w:val="00ED0E48"/>
    <w:rsid w:val="00ED0EED"/>
    <w:rsid w:val="00ED0F76"/>
    <w:rsid w:val="00ED1195"/>
    <w:rsid w:val="00ED11CE"/>
    <w:rsid w:val="00ED1213"/>
    <w:rsid w:val="00ED1491"/>
    <w:rsid w:val="00ED159C"/>
    <w:rsid w:val="00ED176C"/>
    <w:rsid w:val="00ED1836"/>
    <w:rsid w:val="00ED1946"/>
    <w:rsid w:val="00ED1948"/>
    <w:rsid w:val="00ED194C"/>
    <w:rsid w:val="00ED19C1"/>
    <w:rsid w:val="00ED1A42"/>
    <w:rsid w:val="00ED1B27"/>
    <w:rsid w:val="00ED1BA1"/>
    <w:rsid w:val="00ED1D2A"/>
    <w:rsid w:val="00ED1E0A"/>
    <w:rsid w:val="00ED2305"/>
    <w:rsid w:val="00ED2703"/>
    <w:rsid w:val="00ED27BB"/>
    <w:rsid w:val="00ED2ABD"/>
    <w:rsid w:val="00ED2B2A"/>
    <w:rsid w:val="00ED2B6E"/>
    <w:rsid w:val="00ED2C81"/>
    <w:rsid w:val="00ED318A"/>
    <w:rsid w:val="00ED31E6"/>
    <w:rsid w:val="00ED32EC"/>
    <w:rsid w:val="00ED33EC"/>
    <w:rsid w:val="00ED350E"/>
    <w:rsid w:val="00ED36DD"/>
    <w:rsid w:val="00ED36FA"/>
    <w:rsid w:val="00ED3BBF"/>
    <w:rsid w:val="00ED3C43"/>
    <w:rsid w:val="00ED3CD3"/>
    <w:rsid w:val="00ED3D44"/>
    <w:rsid w:val="00ED3E62"/>
    <w:rsid w:val="00ED3F59"/>
    <w:rsid w:val="00ED3FAE"/>
    <w:rsid w:val="00ED3FC9"/>
    <w:rsid w:val="00ED3FE8"/>
    <w:rsid w:val="00ED4282"/>
    <w:rsid w:val="00ED4324"/>
    <w:rsid w:val="00ED441D"/>
    <w:rsid w:val="00ED452D"/>
    <w:rsid w:val="00ED460F"/>
    <w:rsid w:val="00ED474A"/>
    <w:rsid w:val="00ED47C4"/>
    <w:rsid w:val="00ED4858"/>
    <w:rsid w:val="00ED4907"/>
    <w:rsid w:val="00ED4B32"/>
    <w:rsid w:val="00ED51E7"/>
    <w:rsid w:val="00ED52DC"/>
    <w:rsid w:val="00ED5303"/>
    <w:rsid w:val="00ED53C0"/>
    <w:rsid w:val="00ED5547"/>
    <w:rsid w:val="00ED5613"/>
    <w:rsid w:val="00ED561B"/>
    <w:rsid w:val="00ED56D1"/>
    <w:rsid w:val="00ED5A3B"/>
    <w:rsid w:val="00ED5C5B"/>
    <w:rsid w:val="00ED5E6D"/>
    <w:rsid w:val="00ED5E95"/>
    <w:rsid w:val="00ED6019"/>
    <w:rsid w:val="00ED609F"/>
    <w:rsid w:val="00ED61D0"/>
    <w:rsid w:val="00ED626D"/>
    <w:rsid w:val="00ED62E6"/>
    <w:rsid w:val="00ED6325"/>
    <w:rsid w:val="00ED64A1"/>
    <w:rsid w:val="00ED6504"/>
    <w:rsid w:val="00ED6680"/>
    <w:rsid w:val="00ED684B"/>
    <w:rsid w:val="00ED6AB0"/>
    <w:rsid w:val="00ED6B47"/>
    <w:rsid w:val="00ED6C12"/>
    <w:rsid w:val="00ED7202"/>
    <w:rsid w:val="00ED722E"/>
    <w:rsid w:val="00ED788A"/>
    <w:rsid w:val="00ED78AB"/>
    <w:rsid w:val="00ED7911"/>
    <w:rsid w:val="00ED7F23"/>
    <w:rsid w:val="00EE00D2"/>
    <w:rsid w:val="00EE01D3"/>
    <w:rsid w:val="00EE04F3"/>
    <w:rsid w:val="00EE08BD"/>
    <w:rsid w:val="00EE08C0"/>
    <w:rsid w:val="00EE09C8"/>
    <w:rsid w:val="00EE0CB8"/>
    <w:rsid w:val="00EE0DB3"/>
    <w:rsid w:val="00EE1184"/>
    <w:rsid w:val="00EE195E"/>
    <w:rsid w:val="00EE1B8E"/>
    <w:rsid w:val="00EE1B91"/>
    <w:rsid w:val="00EE1D89"/>
    <w:rsid w:val="00EE1EBB"/>
    <w:rsid w:val="00EE20AE"/>
    <w:rsid w:val="00EE221E"/>
    <w:rsid w:val="00EE2480"/>
    <w:rsid w:val="00EE25D7"/>
    <w:rsid w:val="00EE2613"/>
    <w:rsid w:val="00EE26F4"/>
    <w:rsid w:val="00EE275B"/>
    <w:rsid w:val="00EE27CA"/>
    <w:rsid w:val="00EE28CF"/>
    <w:rsid w:val="00EE2A17"/>
    <w:rsid w:val="00EE2AAF"/>
    <w:rsid w:val="00EE2B29"/>
    <w:rsid w:val="00EE2CDB"/>
    <w:rsid w:val="00EE2D1B"/>
    <w:rsid w:val="00EE2FE4"/>
    <w:rsid w:val="00EE3041"/>
    <w:rsid w:val="00EE3095"/>
    <w:rsid w:val="00EE3220"/>
    <w:rsid w:val="00EE33AC"/>
    <w:rsid w:val="00EE3533"/>
    <w:rsid w:val="00EE3632"/>
    <w:rsid w:val="00EE3684"/>
    <w:rsid w:val="00EE388C"/>
    <w:rsid w:val="00EE3973"/>
    <w:rsid w:val="00EE3BBF"/>
    <w:rsid w:val="00EE3C58"/>
    <w:rsid w:val="00EE3E9A"/>
    <w:rsid w:val="00EE44C3"/>
    <w:rsid w:val="00EE4685"/>
    <w:rsid w:val="00EE476E"/>
    <w:rsid w:val="00EE47CE"/>
    <w:rsid w:val="00EE4806"/>
    <w:rsid w:val="00EE4918"/>
    <w:rsid w:val="00EE494E"/>
    <w:rsid w:val="00EE49C2"/>
    <w:rsid w:val="00EE4AD4"/>
    <w:rsid w:val="00EE4CBC"/>
    <w:rsid w:val="00EE4F20"/>
    <w:rsid w:val="00EE5264"/>
    <w:rsid w:val="00EE5304"/>
    <w:rsid w:val="00EE56BC"/>
    <w:rsid w:val="00EE5943"/>
    <w:rsid w:val="00EE5A41"/>
    <w:rsid w:val="00EE5C01"/>
    <w:rsid w:val="00EE5E29"/>
    <w:rsid w:val="00EE5FCB"/>
    <w:rsid w:val="00EE6090"/>
    <w:rsid w:val="00EE61C9"/>
    <w:rsid w:val="00EE6201"/>
    <w:rsid w:val="00EE62A9"/>
    <w:rsid w:val="00EE62C4"/>
    <w:rsid w:val="00EE6613"/>
    <w:rsid w:val="00EE6697"/>
    <w:rsid w:val="00EE673A"/>
    <w:rsid w:val="00EE69E9"/>
    <w:rsid w:val="00EE6A32"/>
    <w:rsid w:val="00EE6B43"/>
    <w:rsid w:val="00EE6C99"/>
    <w:rsid w:val="00EE6CA5"/>
    <w:rsid w:val="00EE6CD7"/>
    <w:rsid w:val="00EE6D9F"/>
    <w:rsid w:val="00EE6DB8"/>
    <w:rsid w:val="00EE6E55"/>
    <w:rsid w:val="00EE6E77"/>
    <w:rsid w:val="00EE71AB"/>
    <w:rsid w:val="00EE73CF"/>
    <w:rsid w:val="00EE755A"/>
    <w:rsid w:val="00EE76F7"/>
    <w:rsid w:val="00EE7848"/>
    <w:rsid w:val="00EE7B11"/>
    <w:rsid w:val="00EE7C63"/>
    <w:rsid w:val="00EE7FAC"/>
    <w:rsid w:val="00EF0236"/>
    <w:rsid w:val="00EF02E5"/>
    <w:rsid w:val="00EF0430"/>
    <w:rsid w:val="00EF056E"/>
    <w:rsid w:val="00EF056F"/>
    <w:rsid w:val="00EF05CF"/>
    <w:rsid w:val="00EF094A"/>
    <w:rsid w:val="00EF0AE2"/>
    <w:rsid w:val="00EF0BAF"/>
    <w:rsid w:val="00EF0C30"/>
    <w:rsid w:val="00EF0CE5"/>
    <w:rsid w:val="00EF0E57"/>
    <w:rsid w:val="00EF1291"/>
    <w:rsid w:val="00EF1517"/>
    <w:rsid w:val="00EF155A"/>
    <w:rsid w:val="00EF158C"/>
    <w:rsid w:val="00EF17B4"/>
    <w:rsid w:val="00EF1BE9"/>
    <w:rsid w:val="00EF1CA3"/>
    <w:rsid w:val="00EF1D04"/>
    <w:rsid w:val="00EF1DA8"/>
    <w:rsid w:val="00EF1E21"/>
    <w:rsid w:val="00EF1F8C"/>
    <w:rsid w:val="00EF1F9A"/>
    <w:rsid w:val="00EF2069"/>
    <w:rsid w:val="00EF2247"/>
    <w:rsid w:val="00EF2275"/>
    <w:rsid w:val="00EF24BA"/>
    <w:rsid w:val="00EF2610"/>
    <w:rsid w:val="00EF268B"/>
    <w:rsid w:val="00EF276B"/>
    <w:rsid w:val="00EF2903"/>
    <w:rsid w:val="00EF2E93"/>
    <w:rsid w:val="00EF2F0A"/>
    <w:rsid w:val="00EF2F0F"/>
    <w:rsid w:val="00EF348B"/>
    <w:rsid w:val="00EF351A"/>
    <w:rsid w:val="00EF35E6"/>
    <w:rsid w:val="00EF35F4"/>
    <w:rsid w:val="00EF37E1"/>
    <w:rsid w:val="00EF39C0"/>
    <w:rsid w:val="00EF39EB"/>
    <w:rsid w:val="00EF39F6"/>
    <w:rsid w:val="00EF3B24"/>
    <w:rsid w:val="00EF3B97"/>
    <w:rsid w:val="00EF3C09"/>
    <w:rsid w:val="00EF3CF4"/>
    <w:rsid w:val="00EF4028"/>
    <w:rsid w:val="00EF4114"/>
    <w:rsid w:val="00EF4208"/>
    <w:rsid w:val="00EF4362"/>
    <w:rsid w:val="00EF436A"/>
    <w:rsid w:val="00EF44AD"/>
    <w:rsid w:val="00EF450F"/>
    <w:rsid w:val="00EF458D"/>
    <w:rsid w:val="00EF45E7"/>
    <w:rsid w:val="00EF46A9"/>
    <w:rsid w:val="00EF46D0"/>
    <w:rsid w:val="00EF47CE"/>
    <w:rsid w:val="00EF4814"/>
    <w:rsid w:val="00EF4816"/>
    <w:rsid w:val="00EF48AC"/>
    <w:rsid w:val="00EF4968"/>
    <w:rsid w:val="00EF4BE2"/>
    <w:rsid w:val="00EF4C26"/>
    <w:rsid w:val="00EF4F20"/>
    <w:rsid w:val="00EF4FE0"/>
    <w:rsid w:val="00EF5057"/>
    <w:rsid w:val="00EF5240"/>
    <w:rsid w:val="00EF52AC"/>
    <w:rsid w:val="00EF5376"/>
    <w:rsid w:val="00EF53C0"/>
    <w:rsid w:val="00EF5478"/>
    <w:rsid w:val="00EF55FF"/>
    <w:rsid w:val="00EF5A3F"/>
    <w:rsid w:val="00EF5A7D"/>
    <w:rsid w:val="00EF5AA2"/>
    <w:rsid w:val="00EF5AA3"/>
    <w:rsid w:val="00EF5B69"/>
    <w:rsid w:val="00EF5D32"/>
    <w:rsid w:val="00EF5DEC"/>
    <w:rsid w:val="00EF5FC3"/>
    <w:rsid w:val="00EF6050"/>
    <w:rsid w:val="00EF613D"/>
    <w:rsid w:val="00EF6218"/>
    <w:rsid w:val="00EF624D"/>
    <w:rsid w:val="00EF63D5"/>
    <w:rsid w:val="00EF6637"/>
    <w:rsid w:val="00EF664F"/>
    <w:rsid w:val="00EF6674"/>
    <w:rsid w:val="00EF670E"/>
    <w:rsid w:val="00EF67AC"/>
    <w:rsid w:val="00EF6DC1"/>
    <w:rsid w:val="00EF6E05"/>
    <w:rsid w:val="00EF6F98"/>
    <w:rsid w:val="00EF7517"/>
    <w:rsid w:val="00EF75A3"/>
    <w:rsid w:val="00EF769F"/>
    <w:rsid w:val="00EF77F6"/>
    <w:rsid w:val="00EF79AB"/>
    <w:rsid w:val="00EF7A6E"/>
    <w:rsid w:val="00EF7A9F"/>
    <w:rsid w:val="00EF7AA2"/>
    <w:rsid w:val="00EF7AAC"/>
    <w:rsid w:val="00EF7B20"/>
    <w:rsid w:val="00EF7BFF"/>
    <w:rsid w:val="00EF7CD1"/>
    <w:rsid w:val="00EF7DB0"/>
    <w:rsid w:val="00F003AF"/>
    <w:rsid w:val="00F003CD"/>
    <w:rsid w:val="00F0077C"/>
    <w:rsid w:val="00F00898"/>
    <w:rsid w:val="00F008F9"/>
    <w:rsid w:val="00F00912"/>
    <w:rsid w:val="00F00995"/>
    <w:rsid w:val="00F00ACC"/>
    <w:rsid w:val="00F00E55"/>
    <w:rsid w:val="00F0108C"/>
    <w:rsid w:val="00F01164"/>
    <w:rsid w:val="00F011AC"/>
    <w:rsid w:val="00F01401"/>
    <w:rsid w:val="00F01741"/>
    <w:rsid w:val="00F01DCF"/>
    <w:rsid w:val="00F01DD3"/>
    <w:rsid w:val="00F01F88"/>
    <w:rsid w:val="00F021B4"/>
    <w:rsid w:val="00F021DD"/>
    <w:rsid w:val="00F023DC"/>
    <w:rsid w:val="00F0248A"/>
    <w:rsid w:val="00F024C1"/>
    <w:rsid w:val="00F0266C"/>
    <w:rsid w:val="00F026C3"/>
    <w:rsid w:val="00F02802"/>
    <w:rsid w:val="00F02A6C"/>
    <w:rsid w:val="00F02B27"/>
    <w:rsid w:val="00F02D1A"/>
    <w:rsid w:val="00F02E03"/>
    <w:rsid w:val="00F02E8C"/>
    <w:rsid w:val="00F02E9D"/>
    <w:rsid w:val="00F02EAC"/>
    <w:rsid w:val="00F02F71"/>
    <w:rsid w:val="00F031BA"/>
    <w:rsid w:val="00F03589"/>
    <w:rsid w:val="00F035E4"/>
    <w:rsid w:val="00F037E1"/>
    <w:rsid w:val="00F038D4"/>
    <w:rsid w:val="00F03A2A"/>
    <w:rsid w:val="00F03A7E"/>
    <w:rsid w:val="00F04067"/>
    <w:rsid w:val="00F04186"/>
    <w:rsid w:val="00F0435C"/>
    <w:rsid w:val="00F0436A"/>
    <w:rsid w:val="00F044D4"/>
    <w:rsid w:val="00F045CF"/>
    <w:rsid w:val="00F04775"/>
    <w:rsid w:val="00F04B2F"/>
    <w:rsid w:val="00F04BCB"/>
    <w:rsid w:val="00F04BDB"/>
    <w:rsid w:val="00F04D21"/>
    <w:rsid w:val="00F04E4B"/>
    <w:rsid w:val="00F04E7E"/>
    <w:rsid w:val="00F04EFF"/>
    <w:rsid w:val="00F04F7F"/>
    <w:rsid w:val="00F05015"/>
    <w:rsid w:val="00F05038"/>
    <w:rsid w:val="00F05109"/>
    <w:rsid w:val="00F05341"/>
    <w:rsid w:val="00F05534"/>
    <w:rsid w:val="00F055B9"/>
    <w:rsid w:val="00F0576D"/>
    <w:rsid w:val="00F05B49"/>
    <w:rsid w:val="00F05CC9"/>
    <w:rsid w:val="00F05D26"/>
    <w:rsid w:val="00F05EAC"/>
    <w:rsid w:val="00F05F7E"/>
    <w:rsid w:val="00F06230"/>
    <w:rsid w:val="00F06590"/>
    <w:rsid w:val="00F0677E"/>
    <w:rsid w:val="00F0679E"/>
    <w:rsid w:val="00F06858"/>
    <w:rsid w:val="00F06884"/>
    <w:rsid w:val="00F06E7A"/>
    <w:rsid w:val="00F070E9"/>
    <w:rsid w:val="00F0749F"/>
    <w:rsid w:val="00F074B0"/>
    <w:rsid w:val="00F0751A"/>
    <w:rsid w:val="00F075CC"/>
    <w:rsid w:val="00F076BB"/>
    <w:rsid w:val="00F079A5"/>
    <w:rsid w:val="00F07A9F"/>
    <w:rsid w:val="00F07F61"/>
    <w:rsid w:val="00F10519"/>
    <w:rsid w:val="00F1054D"/>
    <w:rsid w:val="00F10703"/>
    <w:rsid w:val="00F1091D"/>
    <w:rsid w:val="00F10AE1"/>
    <w:rsid w:val="00F10B8F"/>
    <w:rsid w:val="00F11409"/>
    <w:rsid w:val="00F115C0"/>
    <w:rsid w:val="00F1163F"/>
    <w:rsid w:val="00F116FD"/>
    <w:rsid w:val="00F11D2A"/>
    <w:rsid w:val="00F11DFD"/>
    <w:rsid w:val="00F11E2C"/>
    <w:rsid w:val="00F11E37"/>
    <w:rsid w:val="00F122CB"/>
    <w:rsid w:val="00F12361"/>
    <w:rsid w:val="00F124B5"/>
    <w:rsid w:val="00F12867"/>
    <w:rsid w:val="00F129FB"/>
    <w:rsid w:val="00F12D0C"/>
    <w:rsid w:val="00F131D0"/>
    <w:rsid w:val="00F135B9"/>
    <w:rsid w:val="00F138F3"/>
    <w:rsid w:val="00F13939"/>
    <w:rsid w:val="00F13977"/>
    <w:rsid w:val="00F13A6A"/>
    <w:rsid w:val="00F13F8F"/>
    <w:rsid w:val="00F140A0"/>
    <w:rsid w:val="00F14238"/>
    <w:rsid w:val="00F14387"/>
    <w:rsid w:val="00F14430"/>
    <w:rsid w:val="00F1448E"/>
    <w:rsid w:val="00F14719"/>
    <w:rsid w:val="00F148C3"/>
    <w:rsid w:val="00F14CF9"/>
    <w:rsid w:val="00F14DAE"/>
    <w:rsid w:val="00F14E2C"/>
    <w:rsid w:val="00F14EF9"/>
    <w:rsid w:val="00F150F6"/>
    <w:rsid w:val="00F15164"/>
    <w:rsid w:val="00F152DB"/>
    <w:rsid w:val="00F1540D"/>
    <w:rsid w:val="00F1554E"/>
    <w:rsid w:val="00F1555E"/>
    <w:rsid w:val="00F155B0"/>
    <w:rsid w:val="00F15698"/>
    <w:rsid w:val="00F1580D"/>
    <w:rsid w:val="00F15920"/>
    <w:rsid w:val="00F15982"/>
    <w:rsid w:val="00F159FD"/>
    <w:rsid w:val="00F159FE"/>
    <w:rsid w:val="00F15F6F"/>
    <w:rsid w:val="00F1616A"/>
    <w:rsid w:val="00F16193"/>
    <w:rsid w:val="00F16293"/>
    <w:rsid w:val="00F16552"/>
    <w:rsid w:val="00F16A14"/>
    <w:rsid w:val="00F16A76"/>
    <w:rsid w:val="00F16B4E"/>
    <w:rsid w:val="00F16E67"/>
    <w:rsid w:val="00F16F3C"/>
    <w:rsid w:val="00F16F70"/>
    <w:rsid w:val="00F16F7A"/>
    <w:rsid w:val="00F1708C"/>
    <w:rsid w:val="00F172B7"/>
    <w:rsid w:val="00F172E2"/>
    <w:rsid w:val="00F174D6"/>
    <w:rsid w:val="00F1773A"/>
    <w:rsid w:val="00F17769"/>
    <w:rsid w:val="00F17C47"/>
    <w:rsid w:val="00F17E3F"/>
    <w:rsid w:val="00F17F67"/>
    <w:rsid w:val="00F2012A"/>
    <w:rsid w:val="00F2021A"/>
    <w:rsid w:val="00F20299"/>
    <w:rsid w:val="00F206AE"/>
    <w:rsid w:val="00F207DB"/>
    <w:rsid w:val="00F20834"/>
    <w:rsid w:val="00F20A1B"/>
    <w:rsid w:val="00F20AA8"/>
    <w:rsid w:val="00F20F96"/>
    <w:rsid w:val="00F21021"/>
    <w:rsid w:val="00F211D3"/>
    <w:rsid w:val="00F21213"/>
    <w:rsid w:val="00F2127E"/>
    <w:rsid w:val="00F212A4"/>
    <w:rsid w:val="00F2135A"/>
    <w:rsid w:val="00F21395"/>
    <w:rsid w:val="00F213DA"/>
    <w:rsid w:val="00F2143D"/>
    <w:rsid w:val="00F21463"/>
    <w:rsid w:val="00F214A4"/>
    <w:rsid w:val="00F214BB"/>
    <w:rsid w:val="00F2154D"/>
    <w:rsid w:val="00F215E9"/>
    <w:rsid w:val="00F21631"/>
    <w:rsid w:val="00F21705"/>
    <w:rsid w:val="00F21796"/>
    <w:rsid w:val="00F219D2"/>
    <w:rsid w:val="00F21C0E"/>
    <w:rsid w:val="00F21EA2"/>
    <w:rsid w:val="00F21EF7"/>
    <w:rsid w:val="00F21FB4"/>
    <w:rsid w:val="00F2202B"/>
    <w:rsid w:val="00F2209A"/>
    <w:rsid w:val="00F226FC"/>
    <w:rsid w:val="00F227CD"/>
    <w:rsid w:val="00F2289F"/>
    <w:rsid w:val="00F234A8"/>
    <w:rsid w:val="00F23530"/>
    <w:rsid w:val="00F237DD"/>
    <w:rsid w:val="00F23A27"/>
    <w:rsid w:val="00F23B89"/>
    <w:rsid w:val="00F23D13"/>
    <w:rsid w:val="00F23D89"/>
    <w:rsid w:val="00F23DEA"/>
    <w:rsid w:val="00F24183"/>
    <w:rsid w:val="00F24316"/>
    <w:rsid w:val="00F244D1"/>
    <w:rsid w:val="00F24538"/>
    <w:rsid w:val="00F24554"/>
    <w:rsid w:val="00F24686"/>
    <w:rsid w:val="00F24782"/>
    <w:rsid w:val="00F2478B"/>
    <w:rsid w:val="00F2482C"/>
    <w:rsid w:val="00F24B11"/>
    <w:rsid w:val="00F24D9B"/>
    <w:rsid w:val="00F24E02"/>
    <w:rsid w:val="00F24EA1"/>
    <w:rsid w:val="00F24EF8"/>
    <w:rsid w:val="00F25148"/>
    <w:rsid w:val="00F25299"/>
    <w:rsid w:val="00F252DB"/>
    <w:rsid w:val="00F2534D"/>
    <w:rsid w:val="00F25525"/>
    <w:rsid w:val="00F25614"/>
    <w:rsid w:val="00F25668"/>
    <w:rsid w:val="00F25A26"/>
    <w:rsid w:val="00F25A3A"/>
    <w:rsid w:val="00F25A97"/>
    <w:rsid w:val="00F25AE1"/>
    <w:rsid w:val="00F25B1E"/>
    <w:rsid w:val="00F25C26"/>
    <w:rsid w:val="00F2608F"/>
    <w:rsid w:val="00F26172"/>
    <w:rsid w:val="00F26218"/>
    <w:rsid w:val="00F263C4"/>
    <w:rsid w:val="00F266B5"/>
    <w:rsid w:val="00F268D4"/>
    <w:rsid w:val="00F26B5C"/>
    <w:rsid w:val="00F26BF6"/>
    <w:rsid w:val="00F26D6D"/>
    <w:rsid w:val="00F26D94"/>
    <w:rsid w:val="00F26F58"/>
    <w:rsid w:val="00F26F7F"/>
    <w:rsid w:val="00F27095"/>
    <w:rsid w:val="00F270B9"/>
    <w:rsid w:val="00F2714D"/>
    <w:rsid w:val="00F271B1"/>
    <w:rsid w:val="00F273AB"/>
    <w:rsid w:val="00F27493"/>
    <w:rsid w:val="00F27541"/>
    <w:rsid w:val="00F279D6"/>
    <w:rsid w:val="00F27A78"/>
    <w:rsid w:val="00F27D5F"/>
    <w:rsid w:val="00F27D8D"/>
    <w:rsid w:val="00F27ECD"/>
    <w:rsid w:val="00F305DC"/>
    <w:rsid w:val="00F305F9"/>
    <w:rsid w:val="00F306C8"/>
    <w:rsid w:val="00F30938"/>
    <w:rsid w:val="00F30C23"/>
    <w:rsid w:val="00F30C2E"/>
    <w:rsid w:val="00F30F49"/>
    <w:rsid w:val="00F311CA"/>
    <w:rsid w:val="00F31479"/>
    <w:rsid w:val="00F31581"/>
    <w:rsid w:val="00F316F5"/>
    <w:rsid w:val="00F31735"/>
    <w:rsid w:val="00F31A15"/>
    <w:rsid w:val="00F31B2D"/>
    <w:rsid w:val="00F31C67"/>
    <w:rsid w:val="00F31CA6"/>
    <w:rsid w:val="00F31D94"/>
    <w:rsid w:val="00F31DEF"/>
    <w:rsid w:val="00F3209B"/>
    <w:rsid w:val="00F32117"/>
    <w:rsid w:val="00F321DD"/>
    <w:rsid w:val="00F328D4"/>
    <w:rsid w:val="00F32CDD"/>
    <w:rsid w:val="00F32DCC"/>
    <w:rsid w:val="00F32E28"/>
    <w:rsid w:val="00F32E39"/>
    <w:rsid w:val="00F33017"/>
    <w:rsid w:val="00F3330A"/>
    <w:rsid w:val="00F33360"/>
    <w:rsid w:val="00F333DC"/>
    <w:rsid w:val="00F3347C"/>
    <w:rsid w:val="00F334A9"/>
    <w:rsid w:val="00F335D3"/>
    <w:rsid w:val="00F3365A"/>
    <w:rsid w:val="00F336A3"/>
    <w:rsid w:val="00F33812"/>
    <w:rsid w:val="00F33814"/>
    <w:rsid w:val="00F33968"/>
    <w:rsid w:val="00F33B2F"/>
    <w:rsid w:val="00F33BAB"/>
    <w:rsid w:val="00F340F6"/>
    <w:rsid w:val="00F34220"/>
    <w:rsid w:val="00F3423A"/>
    <w:rsid w:val="00F34409"/>
    <w:rsid w:val="00F344DE"/>
    <w:rsid w:val="00F34595"/>
    <w:rsid w:val="00F345D4"/>
    <w:rsid w:val="00F34767"/>
    <w:rsid w:val="00F347C0"/>
    <w:rsid w:val="00F34AB5"/>
    <w:rsid w:val="00F34C3E"/>
    <w:rsid w:val="00F34D92"/>
    <w:rsid w:val="00F34DF9"/>
    <w:rsid w:val="00F34E7D"/>
    <w:rsid w:val="00F34EF5"/>
    <w:rsid w:val="00F34F9A"/>
    <w:rsid w:val="00F3514B"/>
    <w:rsid w:val="00F35208"/>
    <w:rsid w:val="00F35435"/>
    <w:rsid w:val="00F356D0"/>
    <w:rsid w:val="00F356D7"/>
    <w:rsid w:val="00F3578A"/>
    <w:rsid w:val="00F357E4"/>
    <w:rsid w:val="00F3594F"/>
    <w:rsid w:val="00F35954"/>
    <w:rsid w:val="00F35C35"/>
    <w:rsid w:val="00F35D30"/>
    <w:rsid w:val="00F35E8A"/>
    <w:rsid w:val="00F3626B"/>
    <w:rsid w:val="00F362B5"/>
    <w:rsid w:val="00F36341"/>
    <w:rsid w:val="00F3655A"/>
    <w:rsid w:val="00F36727"/>
    <w:rsid w:val="00F36757"/>
    <w:rsid w:val="00F36B75"/>
    <w:rsid w:val="00F36FF2"/>
    <w:rsid w:val="00F3706D"/>
    <w:rsid w:val="00F371EC"/>
    <w:rsid w:val="00F3734F"/>
    <w:rsid w:val="00F3752B"/>
    <w:rsid w:val="00F37895"/>
    <w:rsid w:val="00F378C7"/>
    <w:rsid w:val="00F37910"/>
    <w:rsid w:val="00F37AEE"/>
    <w:rsid w:val="00F37C94"/>
    <w:rsid w:val="00F37CE4"/>
    <w:rsid w:val="00F37DED"/>
    <w:rsid w:val="00F37E70"/>
    <w:rsid w:val="00F37F7E"/>
    <w:rsid w:val="00F40077"/>
    <w:rsid w:val="00F40102"/>
    <w:rsid w:val="00F40170"/>
    <w:rsid w:val="00F401A0"/>
    <w:rsid w:val="00F40239"/>
    <w:rsid w:val="00F4032D"/>
    <w:rsid w:val="00F403F7"/>
    <w:rsid w:val="00F405C8"/>
    <w:rsid w:val="00F4064A"/>
    <w:rsid w:val="00F40772"/>
    <w:rsid w:val="00F407A0"/>
    <w:rsid w:val="00F40BB4"/>
    <w:rsid w:val="00F411E3"/>
    <w:rsid w:val="00F41202"/>
    <w:rsid w:val="00F41455"/>
    <w:rsid w:val="00F41471"/>
    <w:rsid w:val="00F414A7"/>
    <w:rsid w:val="00F41530"/>
    <w:rsid w:val="00F415F5"/>
    <w:rsid w:val="00F416C7"/>
    <w:rsid w:val="00F4183D"/>
    <w:rsid w:val="00F418EB"/>
    <w:rsid w:val="00F418EE"/>
    <w:rsid w:val="00F419CE"/>
    <w:rsid w:val="00F41A4D"/>
    <w:rsid w:val="00F41B81"/>
    <w:rsid w:val="00F41BE2"/>
    <w:rsid w:val="00F41D0A"/>
    <w:rsid w:val="00F41D19"/>
    <w:rsid w:val="00F41DB0"/>
    <w:rsid w:val="00F42172"/>
    <w:rsid w:val="00F42205"/>
    <w:rsid w:val="00F4234E"/>
    <w:rsid w:val="00F4250F"/>
    <w:rsid w:val="00F42555"/>
    <w:rsid w:val="00F42582"/>
    <w:rsid w:val="00F4284F"/>
    <w:rsid w:val="00F42A34"/>
    <w:rsid w:val="00F42A64"/>
    <w:rsid w:val="00F42AAA"/>
    <w:rsid w:val="00F42DAD"/>
    <w:rsid w:val="00F42DFF"/>
    <w:rsid w:val="00F43081"/>
    <w:rsid w:val="00F430D2"/>
    <w:rsid w:val="00F43166"/>
    <w:rsid w:val="00F431B4"/>
    <w:rsid w:val="00F4325A"/>
    <w:rsid w:val="00F43516"/>
    <w:rsid w:val="00F43691"/>
    <w:rsid w:val="00F43861"/>
    <w:rsid w:val="00F43999"/>
    <w:rsid w:val="00F439B1"/>
    <w:rsid w:val="00F43B65"/>
    <w:rsid w:val="00F43B68"/>
    <w:rsid w:val="00F43BEA"/>
    <w:rsid w:val="00F43E9B"/>
    <w:rsid w:val="00F440A1"/>
    <w:rsid w:val="00F440B8"/>
    <w:rsid w:val="00F4420D"/>
    <w:rsid w:val="00F4449C"/>
    <w:rsid w:val="00F44632"/>
    <w:rsid w:val="00F44715"/>
    <w:rsid w:val="00F447BD"/>
    <w:rsid w:val="00F447D0"/>
    <w:rsid w:val="00F449EC"/>
    <w:rsid w:val="00F44B90"/>
    <w:rsid w:val="00F44B9F"/>
    <w:rsid w:val="00F44BD9"/>
    <w:rsid w:val="00F44D6F"/>
    <w:rsid w:val="00F44DCD"/>
    <w:rsid w:val="00F45075"/>
    <w:rsid w:val="00F45118"/>
    <w:rsid w:val="00F451C2"/>
    <w:rsid w:val="00F453F6"/>
    <w:rsid w:val="00F454BE"/>
    <w:rsid w:val="00F4557E"/>
    <w:rsid w:val="00F45707"/>
    <w:rsid w:val="00F459BF"/>
    <w:rsid w:val="00F45A36"/>
    <w:rsid w:val="00F45A81"/>
    <w:rsid w:val="00F45BDE"/>
    <w:rsid w:val="00F45CA2"/>
    <w:rsid w:val="00F45CE4"/>
    <w:rsid w:val="00F45DD1"/>
    <w:rsid w:val="00F45EA3"/>
    <w:rsid w:val="00F45F7E"/>
    <w:rsid w:val="00F46312"/>
    <w:rsid w:val="00F4632B"/>
    <w:rsid w:val="00F46423"/>
    <w:rsid w:val="00F464D8"/>
    <w:rsid w:val="00F466F2"/>
    <w:rsid w:val="00F466F5"/>
    <w:rsid w:val="00F466FF"/>
    <w:rsid w:val="00F467D3"/>
    <w:rsid w:val="00F46E50"/>
    <w:rsid w:val="00F471DE"/>
    <w:rsid w:val="00F473C7"/>
    <w:rsid w:val="00F47454"/>
    <w:rsid w:val="00F477DA"/>
    <w:rsid w:val="00F478CA"/>
    <w:rsid w:val="00F47A3C"/>
    <w:rsid w:val="00F47B90"/>
    <w:rsid w:val="00F47E62"/>
    <w:rsid w:val="00F47F60"/>
    <w:rsid w:val="00F47FD3"/>
    <w:rsid w:val="00F5002D"/>
    <w:rsid w:val="00F500DE"/>
    <w:rsid w:val="00F501F0"/>
    <w:rsid w:val="00F50572"/>
    <w:rsid w:val="00F506A8"/>
    <w:rsid w:val="00F508BC"/>
    <w:rsid w:val="00F50B97"/>
    <w:rsid w:val="00F50C4C"/>
    <w:rsid w:val="00F50C86"/>
    <w:rsid w:val="00F50D62"/>
    <w:rsid w:val="00F50DCB"/>
    <w:rsid w:val="00F50DCE"/>
    <w:rsid w:val="00F50F44"/>
    <w:rsid w:val="00F51119"/>
    <w:rsid w:val="00F51149"/>
    <w:rsid w:val="00F5133E"/>
    <w:rsid w:val="00F51457"/>
    <w:rsid w:val="00F5145C"/>
    <w:rsid w:val="00F518F2"/>
    <w:rsid w:val="00F51C19"/>
    <w:rsid w:val="00F51CD0"/>
    <w:rsid w:val="00F51D83"/>
    <w:rsid w:val="00F51DE8"/>
    <w:rsid w:val="00F51F73"/>
    <w:rsid w:val="00F520A3"/>
    <w:rsid w:val="00F52141"/>
    <w:rsid w:val="00F522CD"/>
    <w:rsid w:val="00F523CC"/>
    <w:rsid w:val="00F525D1"/>
    <w:rsid w:val="00F525F9"/>
    <w:rsid w:val="00F52689"/>
    <w:rsid w:val="00F527BC"/>
    <w:rsid w:val="00F52895"/>
    <w:rsid w:val="00F52995"/>
    <w:rsid w:val="00F52BC9"/>
    <w:rsid w:val="00F52C4E"/>
    <w:rsid w:val="00F52DD1"/>
    <w:rsid w:val="00F52DF8"/>
    <w:rsid w:val="00F5320E"/>
    <w:rsid w:val="00F533A8"/>
    <w:rsid w:val="00F5373E"/>
    <w:rsid w:val="00F539CA"/>
    <w:rsid w:val="00F53B9D"/>
    <w:rsid w:val="00F53BD6"/>
    <w:rsid w:val="00F53C98"/>
    <w:rsid w:val="00F53D17"/>
    <w:rsid w:val="00F540AA"/>
    <w:rsid w:val="00F54217"/>
    <w:rsid w:val="00F542C1"/>
    <w:rsid w:val="00F544CC"/>
    <w:rsid w:val="00F545AE"/>
    <w:rsid w:val="00F546D7"/>
    <w:rsid w:val="00F54763"/>
    <w:rsid w:val="00F5478A"/>
    <w:rsid w:val="00F548C7"/>
    <w:rsid w:val="00F54B94"/>
    <w:rsid w:val="00F54E69"/>
    <w:rsid w:val="00F55002"/>
    <w:rsid w:val="00F5520A"/>
    <w:rsid w:val="00F5523F"/>
    <w:rsid w:val="00F55252"/>
    <w:rsid w:val="00F5544B"/>
    <w:rsid w:val="00F556D6"/>
    <w:rsid w:val="00F55701"/>
    <w:rsid w:val="00F557FD"/>
    <w:rsid w:val="00F55906"/>
    <w:rsid w:val="00F55AA8"/>
    <w:rsid w:val="00F55B80"/>
    <w:rsid w:val="00F55B98"/>
    <w:rsid w:val="00F55BA8"/>
    <w:rsid w:val="00F560FC"/>
    <w:rsid w:val="00F5613E"/>
    <w:rsid w:val="00F56363"/>
    <w:rsid w:val="00F563CA"/>
    <w:rsid w:val="00F565C9"/>
    <w:rsid w:val="00F566C2"/>
    <w:rsid w:val="00F5670B"/>
    <w:rsid w:val="00F56A06"/>
    <w:rsid w:val="00F56A7E"/>
    <w:rsid w:val="00F56CFC"/>
    <w:rsid w:val="00F56D81"/>
    <w:rsid w:val="00F56E2C"/>
    <w:rsid w:val="00F56E4B"/>
    <w:rsid w:val="00F56F4C"/>
    <w:rsid w:val="00F56F53"/>
    <w:rsid w:val="00F571A1"/>
    <w:rsid w:val="00F57243"/>
    <w:rsid w:val="00F57615"/>
    <w:rsid w:val="00F57713"/>
    <w:rsid w:val="00F57810"/>
    <w:rsid w:val="00F5797C"/>
    <w:rsid w:val="00F57C3E"/>
    <w:rsid w:val="00F57CF0"/>
    <w:rsid w:val="00F57DF8"/>
    <w:rsid w:val="00F6007A"/>
    <w:rsid w:val="00F600C4"/>
    <w:rsid w:val="00F600C6"/>
    <w:rsid w:val="00F60177"/>
    <w:rsid w:val="00F602CD"/>
    <w:rsid w:val="00F60405"/>
    <w:rsid w:val="00F60751"/>
    <w:rsid w:val="00F61103"/>
    <w:rsid w:val="00F61893"/>
    <w:rsid w:val="00F61932"/>
    <w:rsid w:val="00F61B8D"/>
    <w:rsid w:val="00F61CC5"/>
    <w:rsid w:val="00F61D95"/>
    <w:rsid w:val="00F61EAD"/>
    <w:rsid w:val="00F61F7C"/>
    <w:rsid w:val="00F621E7"/>
    <w:rsid w:val="00F622A0"/>
    <w:rsid w:val="00F623B1"/>
    <w:rsid w:val="00F623FD"/>
    <w:rsid w:val="00F627A4"/>
    <w:rsid w:val="00F62B10"/>
    <w:rsid w:val="00F62B7F"/>
    <w:rsid w:val="00F631BB"/>
    <w:rsid w:val="00F631D1"/>
    <w:rsid w:val="00F632FF"/>
    <w:rsid w:val="00F634DF"/>
    <w:rsid w:val="00F635C5"/>
    <w:rsid w:val="00F6374C"/>
    <w:rsid w:val="00F637DA"/>
    <w:rsid w:val="00F6388B"/>
    <w:rsid w:val="00F63B7D"/>
    <w:rsid w:val="00F63C62"/>
    <w:rsid w:val="00F63D87"/>
    <w:rsid w:val="00F63F5D"/>
    <w:rsid w:val="00F64009"/>
    <w:rsid w:val="00F64349"/>
    <w:rsid w:val="00F643E3"/>
    <w:rsid w:val="00F64419"/>
    <w:rsid w:val="00F6480C"/>
    <w:rsid w:val="00F648D1"/>
    <w:rsid w:val="00F64957"/>
    <w:rsid w:val="00F64B31"/>
    <w:rsid w:val="00F64B42"/>
    <w:rsid w:val="00F64D67"/>
    <w:rsid w:val="00F65094"/>
    <w:rsid w:val="00F653B0"/>
    <w:rsid w:val="00F654EE"/>
    <w:rsid w:val="00F6550F"/>
    <w:rsid w:val="00F655DF"/>
    <w:rsid w:val="00F655FD"/>
    <w:rsid w:val="00F6574F"/>
    <w:rsid w:val="00F657E5"/>
    <w:rsid w:val="00F6586D"/>
    <w:rsid w:val="00F65996"/>
    <w:rsid w:val="00F6599D"/>
    <w:rsid w:val="00F65B6B"/>
    <w:rsid w:val="00F65BE8"/>
    <w:rsid w:val="00F65C1C"/>
    <w:rsid w:val="00F65DA3"/>
    <w:rsid w:val="00F65EA5"/>
    <w:rsid w:val="00F65EAD"/>
    <w:rsid w:val="00F65F87"/>
    <w:rsid w:val="00F66015"/>
    <w:rsid w:val="00F6605C"/>
    <w:rsid w:val="00F66064"/>
    <w:rsid w:val="00F660FA"/>
    <w:rsid w:val="00F66178"/>
    <w:rsid w:val="00F661E7"/>
    <w:rsid w:val="00F66246"/>
    <w:rsid w:val="00F663F4"/>
    <w:rsid w:val="00F66670"/>
    <w:rsid w:val="00F667BB"/>
    <w:rsid w:val="00F6683C"/>
    <w:rsid w:val="00F6689C"/>
    <w:rsid w:val="00F66B05"/>
    <w:rsid w:val="00F66C43"/>
    <w:rsid w:val="00F66DB9"/>
    <w:rsid w:val="00F66F85"/>
    <w:rsid w:val="00F670B9"/>
    <w:rsid w:val="00F6727D"/>
    <w:rsid w:val="00F672B3"/>
    <w:rsid w:val="00F67452"/>
    <w:rsid w:val="00F67494"/>
    <w:rsid w:val="00F674D7"/>
    <w:rsid w:val="00F676EC"/>
    <w:rsid w:val="00F676EF"/>
    <w:rsid w:val="00F6782A"/>
    <w:rsid w:val="00F67922"/>
    <w:rsid w:val="00F67986"/>
    <w:rsid w:val="00F67A48"/>
    <w:rsid w:val="00F67AB3"/>
    <w:rsid w:val="00F67B75"/>
    <w:rsid w:val="00F67CD7"/>
    <w:rsid w:val="00F67EBD"/>
    <w:rsid w:val="00F7004B"/>
    <w:rsid w:val="00F702D5"/>
    <w:rsid w:val="00F70385"/>
    <w:rsid w:val="00F704B9"/>
    <w:rsid w:val="00F704F2"/>
    <w:rsid w:val="00F70533"/>
    <w:rsid w:val="00F70578"/>
    <w:rsid w:val="00F707CF"/>
    <w:rsid w:val="00F7095F"/>
    <w:rsid w:val="00F70AED"/>
    <w:rsid w:val="00F70B65"/>
    <w:rsid w:val="00F70CD8"/>
    <w:rsid w:val="00F70D4A"/>
    <w:rsid w:val="00F70EC3"/>
    <w:rsid w:val="00F70ED5"/>
    <w:rsid w:val="00F70FCA"/>
    <w:rsid w:val="00F71345"/>
    <w:rsid w:val="00F71407"/>
    <w:rsid w:val="00F71492"/>
    <w:rsid w:val="00F714AE"/>
    <w:rsid w:val="00F7157D"/>
    <w:rsid w:val="00F71826"/>
    <w:rsid w:val="00F71836"/>
    <w:rsid w:val="00F71A6B"/>
    <w:rsid w:val="00F71ACC"/>
    <w:rsid w:val="00F71B89"/>
    <w:rsid w:val="00F71BF2"/>
    <w:rsid w:val="00F71CCC"/>
    <w:rsid w:val="00F71CD0"/>
    <w:rsid w:val="00F723B0"/>
    <w:rsid w:val="00F72400"/>
    <w:rsid w:val="00F724E9"/>
    <w:rsid w:val="00F72A5A"/>
    <w:rsid w:val="00F72BAB"/>
    <w:rsid w:val="00F72C5A"/>
    <w:rsid w:val="00F72CF9"/>
    <w:rsid w:val="00F72CFF"/>
    <w:rsid w:val="00F73071"/>
    <w:rsid w:val="00F73321"/>
    <w:rsid w:val="00F7355E"/>
    <w:rsid w:val="00F73574"/>
    <w:rsid w:val="00F736EB"/>
    <w:rsid w:val="00F7379A"/>
    <w:rsid w:val="00F73955"/>
    <w:rsid w:val="00F73C0E"/>
    <w:rsid w:val="00F73C95"/>
    <w:rsid w:val="00F73C9C"/>
    <w:rsid w:val="00F73D12"/>
    <w:rsid w:val="00F73F71"/>
    <w:rsid w:val="00F73F75"/>
    <w:rsid w:val="00F7412F"/>
    <w:rsid w:val="00F74633"/>
    <w:rsid w:val="00F74757"/>
    <w:rsid w:val="00F7481E"/>
    <w:rsid w:val="00F74874"/>
    <w:rsid w:val="00F74912"/>
    <w:rsid w:val="00F74BAC"/>
    <w:rsid w:val="00F74D02"/>
    <w:rsid w:val="00F74F3B"/>
    <w:rsid w:val="00F75031"/>
    <w:rsid w:val="00F7522B"/>
    <w:rsid w:val="00F75655"/>
    <w:rsid w:val="00F75822"/>
    <w:rsid w:val="00F75832"/>
    <w:rsid w:val="00F75B37"/>
    <w:rsid w:val="00F76186"/>
    <w:rsid w:val="00F7641D"/>
    <w:rsid w:val="00F764E4"/>
    <w:rsid w:val="00F76574"/>
    <w:rsid w:val="00F765FE"/>
    <w:rsid w:val="00F767DE"/>
    <w:rsid w:val="00F768BF"/>
    <w:rsid w:val="00F768EC"/>
    <w:rsid w:val="00F769DE"/>
    <w:rsid w:val="00F76A8D"/>
    <w:rsid w:val="00F76BB0"/>
    <w:rsid w:val="00F76E6E"/>
    <w:rsid w:val="00F76FAF"/>
    <w:rsid w:val="00F77065"/>
    <w:rsid w:val="00F77283"/>
    <w:rsid w:val="00F77897"/>
    <w:rsid w:val="00F77928"/>
    <w:rsid w:val="00F77A76"/>
    <w:rsid w:val="00F77C4C"/>
    <w:rsid w:val="00F77D73"/>
    <w:rsid w:val="00F77DB9"/>
    <w:rsid w:val="00F77E77"/>
    <w:rsid w:val="00F77F23"/>
    <w:rsid w:val="00F77FEF"/>
    <w:rsid w:val="00F80075"/>
    <w:rsid w:val="00F80255"/>
    <w:rsid w:val="00F8030F"/>
    <w:rsid w:val="00F80328"/>
    <w:rsid w:val="00F80590"/>
    <w:rsid w:val="00F8061A"/>
    <w:rsid w:val="00F8069E"/>
    <w:rsid w:val="00F806BC"/>
    <w:rsid w:val="00F807A9"/>
    <w:rsid w:val="00F808A8"/>
    <w:rsid w:val="00F8090A"/>
    <w:rsid w:val="00F8092F"/>
    <w:rsid w:val="00F80CD0"/>
    <w:rsid w:val="00F80E39"/>
    <w:rsid w:val="00F80F5F"/>
    <w:rsid w:val="00F811D5"/>
    <w:rsid w:val="00F812C8"/>
    <w:rsid w:val="00F8161E"/>
    <w:rsid w:val="00F8167C"/>
    <w:rsid w:val="00F81716"/>
    <w:rsid w:val="00F81B36"/>
    <w:rsid w:val="00F81D8D"/>
    <w:rsid w:val="00F81E50"/>
    <w:rsid w:val="00F81F38"/>
    <w:rsid w:val="00F81F5A"/>
    <w:rsid w:val="00F82365"/>
    <w:rsid w:val="00F825E2"/>
    <w:rsid w:val="00F8268A"/>
    <w:rsid w:val="00F82741"/>
    <w:rsid w:val="00F82827"/>
    <w:rsid w:val="00F828D8"/>
    <w:rsid w:val="00F82A20"/>
    <w:rsid w:val="00F82A84"/>
    <w:rsid w:val="00F82A95"/>
    <w:rsid w:val="00F82E7C"/>
    <w:rsid w:val="00F8312A"/>
    <w:rsid w:val="00F8316E"/>
    <w:rsid w:val="00F83439"/>
    <w:rsid w:val="00F83481"/>
    <w:rsid w:val="00F83611"/>
    <w:rsid w:val="00F83B8A"/>
    <w:rsid w:val="00F83BAA"/>
    <w:rsid w:val="00F83CDE"/>
    <w:rsid w:val="00F83D29"/>
    <w:rsid w:val="00F83F2D"/>
    <w:rsid w:val="00F83FA0"/>
    <w:rsid w:val="00F840B9"/>
    <w:rsid w:val="00F8420C"/>
    <w:rsid w:val="00F8421F"/>
    <w:rsid w:val="00F8425E"/>
    <w:rsid w:val="00F84289"/>
    <w:rsid w:val="00F8469F"/>
    <w:rsid w:val="00F846EF"/>
    <w:rsid w:val="00F847CB"/>
    <w:rsid w:val="00F84938"/>
    <w:rsid w:val="00F84984"/>
    <w:rsid w:val="00F84A84"/>
    <w:rsid w:val="00F84AC9"/>
    <w:rsid w:val="00F84AFF"/>
    <w:rsid w:val="00F84DC5"/>
    <w:rsid w:val="00F84DF3"/>
    <w:rsid w:val="00F8500D"/>
    <w:rsid w:val="00F850DF"/>
    <w:rsid w:val="00F854B3"/>
    <w:rsid w:val="00F854F4"/>
    <w:rsid w:val="00F85730"/>
    <w:rsid w:val="00F85736"/>
    <w:rsid w:val="00F857D7"/>
    <w:rsid w:val="00F8583B"/>
    <w:rsid w:val="00F85CD4"/>
    <w:rsid w:val="00F85D59"/>
    <w:rsid w:val="00F85D6D"/>
    <w:rsid w:val="00F860AE"/>
    <w:rsid w:val="00F86199"/>
    <w:rsid w:val="00F86247"/>
    <w:rsid w:val="00F8627F"/>
    <w:rsid w:val="00F86947"/>
    <w:rsid w:val="00F86AAD"/>
    <w:rsid w:val="00F870C9"/>
    <w:rsid w:val="00F87261"/>
    <w:rsid w:val="00F8740D"/>
    <w:rsid w:val="00F87917"/>
    <w:rsid w:val="00F87A30"/>
    <w:rsid w:val="00F87B67"/>
    <w:rsid w:val="00F87F09"/>
    <w:rsid w:val="00F9000E"/>
    <w:rsid w:val="00F90103"/>
    <w:rsid w:val="00F90395"/>
    <w:rsid w:val="00F903D4"/>
    <w:rsid w:val="00F907B1"/>
    <w:rsid w:val="00F90A6A"/>
    <w:rsid w:val="00F90AD0"/>
    <w:rsid w:val="00F90CB3"/>
    <w:rsid w:val="00F90CF0"/>
    <w:rsid w:val="00F90E82"/>
    <w:rsid w:val="00F90EC6"/>
    <w:rsid w:val="00F90F09"/>
    <w:rsid w:val="00F9115B"/>
    <w:rsid w:val="00F91188"/>
    <w:rsid w:val="00F91213"/>
    <w:rsid w:val="00F912A4"/>
    <w:rsid w:val="00F915AD"/>
    <w:rsid w:val="00F91884"/>
    <w:rsid w:val="00F91C29"/>
    <w:rsid w:val="00F91CAA"/>
    <w:rsid w:val="00F91DB0"/>
    <w:rsid w:val="00F920D1"/>
    <w:rsid w:val="00F921F5"/>
    <w:rsid w:val="00F922CC"/>
    <w:rsid w:val="00F9235A"/>
    <w:rsid w:val="00F92372"/>
    <w:rsid w:val="00F92421"/>
    <w:rsid w:val="00F924CE"/>
    <w:rsid w:val="00F924D8"/>
    <w:rsid w:val="00F92504"/>
    <w:rsid w:val="00F92964"/>
    <w:rsid w:val="00F92BBE"/>
    <w:rsid w:val="00F92CC4"/>
    <w:rsid w:val="00F92CCC"/>
    <w:rsid w:val="00F92D31"/>
    <w:rsid w:val="00F92E6D"/>
    <w:rsid w:val="00F92EA4"/>
    <w:rsid w:val="00F92F9B"/>
    <w:rsid w:val="00F93115"/>
    <w:rsid w:val="00F934FA"/>
    <w:rsid w:val="00F9375D"/>
    <w:rsid w:val="00F93764"/>
    <w:rsid w:val="00F93774"/>
    <w:rsid w:val="00F93B8F"/>
    <w:rsid w:val="00F93BB8"/>
    <w:rsid w:val="00F93E95"/>
    <w:rsid w:val="00F93ED3"/>
    <w:rsid w:val="00F93F0B"/>
    <w:rsid w:val="00F94275"/>
    <w:rsid w:val="00F94752"/>
    <w:rsid w:val="00F94846"/>
    <w:rsid w:val="00F948F4"/>
    <w:rsid w:val="00F94A15"/>
    <w:rsid w:val="00F94D15"/>
    <w:rsid w:val="00F94D84"/>
    <w:rsid w:val="00F94DB5"/>
    <w:rsid w:val="00F94E05"/>
    <w:rsid w:val="00F94E24"/>
    <w:rsid w:val="00F95050"/>
    <w:rsid w:val="00F952F3"/>
    <w:rsid w:val="00F954CE"/>
    <w:rsid w:val="00F9558F"/>
    <w:rsid w:val="00F9563F"/>
    <w:rsid w:val="00F9595C"/>
    <w:rsid w:val="00F95C50"/>
    <w:rsid w:val="00F962F8"/>
    <w:rsid w:val="00F96357"/>
    <w:rsid w:val="00F9636E"/>
    <w:rsid w:val="00F963B3"/>
    <w:rsid w:val="00F9683F"/>
    <w:rsid w:val="00F9697B"/>
    <w:rsid w:val="00F96A08"/>
    <w:rsid w:val="00F96A4D"/>
    <w:rsid w:val="00F96AC3"/>
    <w:rsid w:val="00F96B32"/>
    <w:rsid w:val="00F96BF8"/>
    <w:rsid w:val="00F96ECB"/>
    <w:rsid w:val="00F96F26"/>
    <w:rsid w:val="00F97036"/>
    <w:rsid w:val="00F972EF"/>
    <w:rsid w:val="00F9748F"/>
    <w:rsid w:val="00F97566"/>
    <w:rsid w:val="00F97871"/>
    <w:rsid w:val="00F97963"/>
    <w:rsid w:val="00F97A26"/>
    <w:rsid w:val="00F97AAF"/>
    <w:rsid w:val="00F97D7C"/>
    <w:rsid w:val="00FA01A6"/>
    <w:rsid w:val="00FA023B"/>
    <w:rsid w:val="00FA0572"/>
    <w:rsid w:val="00FA05E9"/>
    <w:rsid w:val="00FA070F"/>
    <w:rsid w:val="00FA0B84"/>
    <w:rsid w:val="00FA0FD0"/>
    <w:rsid w:val="00FA1015"/>
    <w:rsid w:val="00FA10D4"/>
    <w:rsid w:val="00FA1305"/>
    <w:rsid w:val="00FA13E4"/>
    <w:rsid w:val="00FA13EF"/>
    <w:rsid w:val="00FA14AE"/>
    <w:rsid w:val="00FA14E3"/>
    <w:rsid w:val="00FA179E"/>
    <w:rsid w:val="00FA1815"/>
    <w:rsid w:val="00FA18B1"/>
    <w:rsid w:val="00FA18BC"/>
    <w:rsid w:val="00FA194B"/>
    <w:rsid w:val="00FA19CA"/>
    <w:rsid w:val="00FA1B41"/>
    <w:rsid w:val="00FA1E16"/>
    <w:rsid w:val="00FA1E73"/>
    <w:rsid w:val="00FA22EA"/>
    <w:rsid w:val="00FA237C"/>
    <w:rsid w:val="00FA2385"/>
    <w:rsid w:val="00FA2388"/>
    <w:rsid w:val="00FA23E4"/>
    <w:rsid w:val="00FA275B"/>
    <w:rsid w:val="00FA2843"/>
    <w:rsid w:val="00FA2932"/>
    <w:rsid w:val="00FA2D62"/>
    <w:rsid w:val="00FA2F43"/>
    <w:rsid w:val="00FA3065"/>
    <w:rsid w:val="00FA32F5"/>
    <w:rsid w:val="00FA3367"/>
    <w:rsid w:val="00FA337B"/>
    <w:rsid w:val="00FA3469"/>
    <w:rsid w:val="00FA38C8"/>
    <w:rsid w:val="00FA39B6"/>
    <w:rsid w:val="00FA39DF"/>
    <w:rsid w:val="00FA3A0D"/>
    <w:rsid w:val="00FA3AD1"/>
    <w:rsid w:val="00FA3FFF"/>
    <w:rsid w:val="00FA4322"/>
    <w:rsid w:val="00FA452C"/>
    <w:rsid w:val="00FA4C27"/>
    <w:rsid w:val="00FA4C6C"/>
    <w:rsid w:val="00FA4C80"/>
    <w:rsid w:val="00FA4E31"/>
    <w:rsid w:val="00FA4F39"/>
    <w:rsid w:val="00FA4FE8"/>
    <w:rsid w:val="00FA508A"/>
    <w:rsid w:val="00FA5330"/>
    <w:rsid w:val="00FA5392"/>
    <w:rsid w:val="00FA53EB"/>
    <w:rsid w:val="00FA54E4"/>
    <w:rsid w:val="00FA5B1E"/>
    <w:rsid w:val="00FA5B69"/>
    <w:rsid w:val="00FA6285"/>
    <w:rsid w:val="00FA636D"/>
    <w:rsid w:val="00FA638F"/>
    <w:rsid w:val="00FA63E9"/>
    <w:rsid w:val="00FA65D6"/>
    <w:rsid w:val="00FA6808"/>
    <w:rsid w:val="00FA687F"/>
    <w:rsid w:val="00FA69F4"/>
    <w:rsid w:val="00FA6BFE"/>
    <w:rsid w:val="00FA6D2B"/>
    <w:rsid w:val="00FA6DC2"/>
    <w:rsid w:val="00FA7018"/>
    <w:rsid w:val="00FA70D3"/>
    <w:rsid w:val="00FA70EE"/>
    <w:rsid w:val="00FA7134"/>
    <w:rsid w:val="00FA7387"/>
    <w:rsid w:val="00FA78FB"/>
    <w:rsid w:val="00FA79CA"/>
    <w:rsid w:val="00FA7BD2"/>
    <w:rsid w:val="00FA7D1B"/>
    <w:rsid w:val="00FA7E40"/>
    <w:rsid w:val="00FA7F21"/>
    <w:rsid w:val="00FB0059"/>
    <w:rsid w:val="00FB00C6"/>
    <w:rsid w:val="00FB021B"/>
    <w:rsid w:val="00FB03F5"/>
    <w:rsid w:val="00FB042F"/>
    <w:rsid w:val="00FB071E"/>
    <w:rsid w:val="00FB0BBC"/>
    <w:rsid w:val="00FB0CA9"/>
    <w:rsid w:val="00FB0F8A"/>
    <w:rsid w:val="00FB0FB4"/>
    <w:rsid w:val="00FB105C"/>
    <w:rsid w:val="00FB13BE"/>
    <w:rsid w:val="00FB15FB"/>
    <w:rsid w:val="00FB16FA"/>
    <w:rsid w:val="00FB18D5"/>
    <w:rsid w:val="00FB1A66"/>
    <w:rsid w:val="00FB1ADE"/>
    <w:rsid w:val="00FB1BD9"/>
    <w:rsid w:val="00FB203D"/>
    <w:rsid w:val="00FB241B"/>
    <w:rsid w:val="00FB24E1"/>
    <w:rsid w:val="00FB25D8"/>
    <w:rsid w:val="00FB262E"/>
    <w:rsid w:val="00FB268E"/>
    <w:rsid w:val="00FB27DD"/>
    <w:rsid w:val="00FB28CA"/>
    <w:rsid w:val="00FB29A6"/>
    <w:rsid w:val="00FB29A8"/>
    <w:rsid w:val="00FB29E7"/>
    <w:rsid w:val="00FB2D61"/>
    <w:rsid w:val="00FB2E39"/>
    <w:rsid w:val="00FB2E77"/>
    <w:rsid w:val="00FB2FD3"/>
    <w:rsid w:val="00FB2FF2"/>
    <w:rsid w:val="00FB308C"/>
    <w:rsid w:val="00FB32F1"/>
    <w:rsid w:val="00FB3389"/>
    <w:rsid w:val="00FB39BF"/>
    <w:rsid w:val="00FB3B73"/>
    <w:rsid w:val="00FB3C75"/>
    <w:rsid w:val="00FB3D81"/>
    <w:rsid w:val="00FB3F12"/>
    <w:rsid w:val="00FB401D"/>
    <w:rsid w:val="00FB4192"/>
    <w:rsid w:val="00FB421E"/>
    <w:rsid w:val="00FB43B7"/>
    <w:rsid w:val="00FB451C"/>
    <w:rsid w:val="00FB4569"/>
    <w:rsid w:val="00FB45F2"/>
    <w:rsid w:val="00FB46C8"/>
    <w:rsid w:val="00FB4892"/>
    <w:rsid w:val="00FB4921"/>
    <w:rsid w:val="00FB4932"/>
    <w:rsid w:val="00FB49E4"/>
    <w:rsid w:val="00FB4D49"/>
    <w:rsid w:val="00FB4E9C"/>
    <w:rsid w:val="00FB4F50"/>
    <w:rsid w:val="00FB4F66"/>
    <w:rsid w:val="00FB5172"/>
    <w:rsid w:val="00FB53E2"/>
    <w:rsid w:val="00FB53F5"/>
    <w:rsid w:val="00FB54CF"/>
    <w:rsid w:val="00FB5643"/>
    <w:rsid w:val="00FB57DF"/>
    <w:rsid w:val="00FB5BD9"/>
    <w:rsid w:val="00FB5C25"/>
    <w:rsid w:val="00FB5CE9"/>
    <w:rsid w:val="00FB5DED"/>
    <w:rsid w:val="00FB5EBD"/>
    <w:rsid w:val="00FB5F42"/>
    <w:rsid w:val="00FB5F6E"/>
    <w:rsid w:val="00FB5FCE"/>
    <w:rsid w:val="00FB6430"/>
    <w:rsid w:val="00FB6580"/>
    <w:rsid w:val="00FB6663"/>
    <w:rsid w:val="00FB6868"/>
    <w:rsid w:val="00FB68CE"/>
    <w:rsid w:val="00FB6936"/>
    <w:rsid w:val="00FB6AAD"/>
    <w:rsid w:val="00FB71A3"/>
    <w:rsid w:val="00FB72B1"/>
    <w:rsid w:val="00FB72FC"/>
    <w:rsid w:val="00FB736E"/>
    <w:rsid w:val="00FB7451"/>
    <w:rsid w:val="00FB76B7"/>
    <w:rsid w:val="00FB7793"/>
    <w:rsid w:val="00FB7880"/>
    <w:rsid w:val="00FB7891"/>
    <w:rsid w:val="00FB799A"/>
    <w:rsid w:val="00FB7AED"/>
    <w:rsid w:val="00FB7B68"/>
    <w:rsid w:val="00FB7C24"/>
    <w:rsid w:val="00FB7C97"/>
    <w:rsid w:val="00FC016F"/>
    <w:rsid w:val="00FC0374"/>
    <w:rsid w:val="00FC094C"/>
    <w:rsid w:val="00FC0AAD"/>
    <w:rsid w:val="00FC0FFF"/>
    <w:rsid w:val="00FC106E"/>
    <w:rsid w:val="00FC1141"/>
    <w:rsid w:val="00FC14E0"/>
    <w:rsid w:val="00FC1551"/>
    <w:rsid w:val="00FC15D9"/>
    <w:rsid w:val="00FC1873"/>
    <w:rsid w:val="00FC18D2"/>
    <w:rsid w:val="00FC192B"/>
    <w:rsid w:val="00FC19CA"/>
    <w:rsid w:val="00FC1B2B"/>
    <w:rsid w:val="00FC1DF2"/>
    <w:rsid w:val="00FC1E28"/>
    <w:rsid w:val="00FC1EE7"/>
    <w:rsid w:val="00FC21FE"/>
    <w:rsid w:val="00FC221D"/>
    <w:rsid w:val="00FC22C5"/>
    <w:rsid w:val="00FC22EC"/>
    <w:rsid w:val="00FC22F5"/>
    <w:rsid w:val="00FC23D5"/>
    <w:rsid w:val="00FC241D"/>
    <w:rsid w:val="00FC248C"/>
    <w:rsid w:val="00FC24FC"/>
    <w:rsid w:val="00FC27FE"/>
    <w:rsid w:val="00FC281F"/>
    <w:rsid w:val="00FC28AA"/>
    <w:rsid w:val="00FC2BD8"/>
    <w:rsid w:val="00FC2CE2"/>
    <w:rsid w:val="00FC2F12"/>
    <w:rsid w:val="00FC2F7D"/>
    <w:rsid w:val="00FC303F"/>
    <w:rsid w:val="00FC3056"/>
    <w:rsid w:val="00FC316C"/>
    <w:rsid w:val="00FC3176"/>
    <w:rsid w:val="00FC33EB"/>
    <w:rsid w:val="00FC3475"/>
    <w:rsid w:val="00FC34BD"/>
    <w:rsid w:val="00FC37E4"/>
    <w:rsid w:val="00FC3801"/>
    <w:rsid w:val="00FC3812"/>
    <w:rsid w:val="00FC3849"/>
    <w:rsid w:val="00FC38A2"/>
    <w:rsid w:val="00FC38D3"/>
    <w:rsid w:val="00FC393C"/>
    <w:rsid w:val="00FC3B1D"/>
    <w:rsid w:val="00FC3C8F"/>
    <w:rsid w:val="00FC3ECC"/>
    <w:rsid w:val="00FC405C"/>
    <w:rsid w:val="00FC4417"/>
    <w:rsid w:val="00FC44F9"/>
    <w:rsid w:val="00FC45E3"/>
    <w:rsid w:val="00FC48CC"/>
    <w:rsid w:val="00FC4946"/>
    <w:rsid w:val="00FC4BEC"/>
    <w:rsid w:val="00FC4D5F"/>
    <w:rsid w:val="00FC4D88"/>
    <w:rsid w:val="00FC4DBF"/>
    <w:rsid w:val="00FC4E19"/>
    <w:rsid w:val="00FC4EE4"/>
    <w:rsid w:val="00FC5033"/>
    <w:rsid w:val="00FC50FE"/>
    <w:rsid w:val="00FC5132"/>
    <w:rsid w:val="00FC5283"/>
    <w:rsid w:val="00FC53D2"/>
    <w:rsid w:val="00FC5469"/>
    <w:rsid w:val="00FC555F"/>
    <w:rsid w:val="00FC5816"/>
    <w:rsid w:val="00FC58FF"/>
    <w:rsid w:val="00FC5E7F"/>
    <w:rsid w:val="00FC6007"/>
    <w:rsid w:val="00FC62CF"/>
    <w:rsid w:val="00FC63A1"/>
    <w:rsid w:val="00FC66F2"/>
    <w:rsid w:val="00FC6C17"/>
    <w:rsid w:val="00FC6C87"/>
    <w:rsid w:val="00FC6D20"/>
    <w:rsid w:val="00FC711D"/>
    <w:rsid w:val="00FC7257"/>
    <w:rsid w:val="00FC7269"/>
    <w:rsid w:val="00FC72FA"/>
    <w:rsid w:val="00FC748D"/>
    <w:rsid w:val="00FC765C"/>
    <w:rsid w:val="00FC7708"/>
    <w:rsid w:val="00FC770B"/>
    <w:rsid w:val="00FC79C3"/>
    <w:rsid w:val="00FC7A95"/>
    <w:rsid w:val="00FC7A9D"/>
    <w:rsid w:val="00FC7D60"/>
    <w:rsid w:val="00FC7F0C"/>
    <w:rsid w:val="00FD01A8"/>
    <w:rsid w:val="00FD03BD"/>
    <w:rsid w:val="00FD03CE"/>
    <w:rsid w:val="00FD05EF"/>
    <w:rsid w:val="00FD05FE"/>
    <w:rsid w:val="00FD066A"/>
    <w:rsid w:val="00FD06F0"/>
    <w:rsid w:val="00FD07BD"/>
    <w:rsid w:val="00FD0A4F"/>
    <w:rsid w:val="00FD0A8A"/>
    <w:rsid w:val="00FD0CC0"/>
    <w:rsid w:val="00FD0F60"/>
    <w:rsid w:val="00FD10F9"/>
    <w:rsid w:val="00FD111F"/>
    <w:rsid w:val="00FD147F"/>
    <w:rsid w:val="00FD18F5"/>
    <w:rsid w:val="00FD18F9"/>
    <w:rsid w:val="00FD1C44"/>
    <w:rsid w:val="00FD1D1D"/>
    <w:rsid w:val="00FD1F25"/>
    <w:rsid w:val="00FD2030"/>
    <w:rsid w:val="00FD204C"/>
    <w:rsid w:val="00FD2096"/>
    <w:rsid w:val="00FD214A"/>
    <w:rsid w:val="00FD22DE"/>
    <w:rsid w:val="00FD23A3"/>
    <w:rsid w:val="00FD254C"/>
    <w:rsid w:val="00FD2830"/>
    <w:rsid w:val="00FD2897"/>
    <w:rsid w:val="00FD29E9"/>
    <w:rsid w:val="00FD2AB2"/>
    <w:rsid w:val="00FD2BFE"/>
    <w:rsid w:val="00FD2D93"/>
    <w:rsid w:val="00FD2EC0"/>
    <w:rsid w:val="00FD2F25"/>
    <w:rsid w:val="00FD3025"/>
    <w:rsid w:val="00FD30C1"/>
    <w:rsid w:val="00FD30D7"/>
    <w:rsid w:val="00FD30FE"/>
    <w:rsid w:val="00FD322D"/>
    <w:rsid w:val="00FD3236"/>
    <w:rsid w:val="00FD33BB"/>
    <w:rsid w:val="00FD354C"/>
    <w:rsid w:val="00FD3661"/>
    <w:rsid w:val="00FD36DE"/>
    <w:rsid w:val="00FD374E"/>
    <w:rsid w:val="00FD38DB"/>
    <w:rsid w:val="00FD39E3"/>
    <w:rsid w:val="00FD3B0F"/>
    <w:rsid w:val="00FD3B19"/>
    <w:rsid w:val="00FD3B44"/>
    <w:rsid w:val="00FD3DB9"/>
    <w:rsid w:val="00FD3DE6"/>
    <w:rsid w:val="00FD3DF4"/>
    <w:rsid w:val="00FD404D"/>
    <w:rsid w:val="00FD40FE"/>
    <w:rsid w:val="00FD4179"/>
    <w:rsid w:val="00FD41EB"/>
    <w:rsid w:val="00FD41F7"/>
    <w:rsid w:val="00FD42A0"/>
    <w:rsid w:val="00FD4386"/>
    <w:rsid w:val="00FD4570"/>
    <w:rsid w:val="00FD4893"/>
    <w:rsid w:val="00FD48CE"/>
    <w:rsid w:val="00FD4AF3"/>
    <w:rsid w:val="00FD4BC2"/>
    <w:rsid w:val="00FD4BD8"/>
    <w:rsid w:val="00FD4EFC"/>
    <w:rsid w:val="00FD4F01"/>
    <w:rsid w:val="00FD52F6"/>
    <w:rsid w:val="00FD5535"/>
    <w:rsid w:val="00FD56AC"/>
    <w:rsid w:val="00FD59D7"/>
    <w:rsid w:val="00FD5A63"/>
    <w:rsid w:val="00FD5A71"/>
    <w:rsid w:val="00FD5AF4"/>
    <w:rsid w:val="00FD5C12"/>
    <w:rsid w:val="00FD5DF7"/>
    <w:rsid w:val="00FD63D1"/>
    <w:rsid w:val="00FD648C"/>
    <w:rsid w:val="00FD6662"/>
    <w:rsid w:val="00FD66E5"/>
    <w:rsid w:val="00FD6763"/>
    <w:rsid w:val="00FD684F"/>
    <w:rsid w:val="00FD6897"/>
    <w:rsid w:val="00FD69BF"/>
    <w:rsid w:val="00FD6CC2"/>
    <w:rsid w:val="00FD6D6F"/>
    <w:rsid w:val="00FD6E2C"/>
    <w:rsid w:val="00FD6FE6"/>
    <w:rsid w:val="00FD7052"/>
    <w:rsid w:val="00FD72B2"/>
    <w:rsid w:val="00FD72E5"/>
    <w:rsid w:val="00FD7753"/>
    <w:rsid w:val="00FD795F"/>
    <w:rsid w:val="00FD7A77"/>
    <w:rsid w:val="00FD7AAB"/>
    <w:rsid w:val="00FD7AB3"/>
    <w:rsid w:val="00FD7B51"/>
    <w:rsid w:val="00FD7C32"/>
    <w:rsid w:val="00FD7E61"/>
    <w:rsid w:val="00FE0122"/>
    <w:rsid w:val="00FE03CA"/>
    <w:rsid w:val="00FE0441"/>
    <w:rsid w:val="00FE0500"/>
    <w:rsid w:val="00FE05A0"/>
    <w:rsid w:val="00FE0970"/>
    <w:rsid w:val="00FE0A96"/>
    <w:rsid w:val="00FE0B91"/>
    <w:rsid w:val="00FE0C5F"/>
    <w:rsid w:val="00FE0C73"/>
    <w:rsid w:val="00FE0E43"/>
    <w:rsid w:val="00FE0E86"/>
    <w:rsid w:val="00FE0F57"/>
    <w:rsid w:val="00FE0FDA"/>
    <w:rsid w:val="00FE1295"/>
    <w:rsid w:val="00FE185A"/>
    <w:rsid w:val="00FE1938"/>
    <w:rsid w:val="00FE19B5"/>
    <w:rsid w:val="00FE1B5A"/>
    <w:rsid w:val="00FE1F36"/>
    <w:rsid w:val="00FE248D"/>
    <w:rsid w:val="00FE2623"/>
    <w:rsid w:val="00FE27EC"/>
    <w:rsid w:val="00FE2869"/>
    <w:rsid w:val="00FE2A22"/>
    <w:rsid w:val="00FE2BAF"/>
    <w:rsid w:val="00FE2E05"/>
    <w:rsid w:val="00FE2E32"/>
    <w:rsid w:val="00FE2F17"/>
    <w:rsid w:val="00FE2FFA"/>
    <w:rsid w:val="00FE32AE"/>
    <w:rsid w:val="00FE32F3"/>
    <w:rsid w:val="00FE337D"/>
    <w:rsid w:val="00FE35CA"/>
    <w:rsid w:val="00FE35EF"/>
    <w:rsid w:val="00FE3743"/>
    <w:rsid w:val="00FE37BE"/>
    <w:rsid w:val="00FE380E"/>
    <w:rsid w:val="00FE381D"/>
    <w:rsid w:val="00FE3890"/>
    <w:rsid w:val="00FE3947"/>
    <w:rsid w:val="00FE3C32"/>
    <w:rsid w:val="00FE3DE9"/>
    <w:rsid w:val="00FE3F22"/>
    <w:rsid w:val="00FE42D5"/>
    <w:rsid w:val="00FE44B7"/>
    <w:rsid w:val="00FE4502"/>
    <w:rsid w:val="00FE46FB"/>
    <w:rsid w:val="00FE4720"/>
    <w:rsid w:val="00FE4EBB"/>
    <w:rsid w:val="00FE5116"/>
    <w:rsid w:val="00FE51B0"/>
    <w:rsid w:val="00FE54AE"/>
    <w:rsid w:val="00FE56F4"/>
    <w:rsid w:val="00FE5754"/>
    <w:rsid w:val="00FE57DC"/>
    <w:rsid w:val="00FE57F3"/>
    <w:rsid w:val="00FE59D3"/>
    <w:rsid w:val="00FE5BE9"/>
    <w:rsid w:val="00FE5CF4"/>
    <w:rsid w:val="00FE5D6A"/>
    <w:rsid w:val="00FE5DE0"/>
    <w:rsid w:val="00FE5F78"/>
    <w:rsid w:val="00FE63EC"/>
    <w:rsid w:val="00FE6466"/>
    <w:rsid w:val="00FE6680"/>
    <w:rsid w:val="00FE669D"/>
    <w:rsid w:val="00FE689E"/>
    <w:rsid w:val="00FE68AE"/>
    <w:rsid w:val="00FE6996"/>
    <w:rsid w:val="00FE6BF7"/>
    <w:rsid w:val="00FE6C4C"/>
    <w:rsid w:val="00FE6D91"/>
    <w:rsid w:val="00FE6DBA"/>
    <w:rsid w:val="00FE6DC1"/>
    <w:rsid w:val="00FE6E43"/>
    <w:rsid w:val="00FE70E4"/>
    <w:rsid w:val="00FE713F"/>
    <w:rsid w:val="00FE7196"/>
    <w:rsid w:val="00FE73A7"/>
    <w:rsid w:val="00FE7452"/>
    <w:rsid w:val="00FE7530"/>
    <w:rsid w:val="00FE77F6"/>
    <w:rsid w:val="00FE7A0A"/>
    <w:rsid w:val="00FE7A0F"/>
    <w:rsid w:val="00FE7CB0"/>
    <w:rsid w:val="00FE7D37"/>
    <w:rsid w:val="00FE7D93"/>
    <w:rsid w:val="00FF0146"/>
    <w:rsid w:val="00FF01CF"/>
    <w:rsid w:val="00FF04AA"/>
    <w:rsid w:val="00FF07C5"/>
    <w:rsid w:val="00FF09BC"/>
    <w:rsid w:val="00FF0A9C"/>
    <w:rsid w:val="00FF0AED"/>
    <w:rsid w:val="00FF0B52"/>
    <w:rsid w:val="00FF10C3"/>
    <w:rsid w:val="00FF12CD"/>
    <w:rsid w:val="00FF1353"/>
    <w:rsid w:val="00FF1403"/>
    <w:rsid w:val="00FF1507"/>
    <w:rsid w:val="00FF1788"/>
    <w:rsid w:val="00FF1838"/>
    <w:rsid w:val="00FF189A"/>
    <w:rsid w:val="00FF1B11"/>
    <w:rsid w:val="00FF1D69"/>
    <w:rsid w:val="00FF1DE5"/>
    <w:rsid w:val="00FF1E28"/>
    <w:rsid w:val="00FF1FE1"/>
    <w:rsid w:val="00FF2252"/>
    <w:rsid w:val="00FF22C2"/>
    <w:rsid w:val="00FF23F7"/>
    <w:rsid w:val="00FF249C"/>
    <w:rsid w:val="00FF25C5"/>
    <w:rsid w:val="00FF2612"/>
    <w:rsid w:val="00FF26DB"/>
    <w:rsid w:val="00FF27C0"/>
    <w:rsid w:val="00FF2821"/>
    <w:rsid w:val="00FF2DC9"/>
    <w:rsid w:val="00FF2E36"/>
    <w:rsid w:val="00FF3022"/>
    <w:rsid w:val="00FF3027"/>
    <w:rsid w:val="00FF30FA"/>
    <w:rsid w:val="00FF31CA"/>
    <w:rsid w:val="00FF3285"/>
    <w:rsid w:val="00FF3347"/>
    <w:rsid w:val="00FF341F"/>
    <w:rsid w:val="00FF36A4"/>
    <w:rsid w:val="00FF3908"/>
    <w:rsid w:val="00FF3920"/>
    <w:rsid w:val="00FF3C3E"/>
    <w:rsid w:val="00FF3E9F"/>
    <w:rsid w:val="00FF3EF6"/>
    <w:rsid w:val="00FF405C"/>
    <w:rsid w:val="00FF4094"/>
    <w:rsid w:val="00FF40B3"/>
    <w:rsid w:val="00FF440A"/>
    <w:rsid w:val="00FF4916"/>
    <w:rsid w:val="00FF4943"/>
    <w:rsid w:val="00FF49A8"/>
    <w:rsid w:val="00FF4F2B"/>
    <w:rsid w:val="00FF4FA2"/>
    <w:rsid w:val="00FF52BA"/>
    <w:rsid w:val="00FF52D6"/>
    <w:rsid w:val="00FF52DF"/>
    <w:rsid w:val="00FF52F8"/>
    <w:rsid w:val="00FF549C"/>
    <w:rsid w:val="00FF55EC"/>
    <w:rsid w:val="00FF5897"/>
    <w:rsid w:val="00FF5A68"/>
    <w:rsid w:val="00FF5E68"/>
    <w:rsid w:val="00FF5EA9"/>
    <w:rsid w:val="00FF5F43"/>
    <w:rsid w:val="00FF6067"/>
    <w:rsid w:val="00FF60D4"/>
    <w:rsid w:val="00FF6164"/>
    <w:rsid w:val="00FF61E3"/>
    <w:rsid w:val="00FF62EC"/>
    <w:rsid w:val="00FF6519"/>
    <w:rsid w:val="00FF6555"/>
    <w:rsid w:val="00FF6977"/>
    <w:rsid w:val="00FF6AC7"/>
    <w:rsid w:val="00FF6B07"/>
    <w:rsid w:val="00FF6E08"/>
    <w:rsid w:val="00FF716E"/>
    <w:rsid w:val="00FF726F"/>
    <w:rsid w:val="00FF74FE"/>
    <w:rsid w:val="00FF7560"/>
    <w:rsid w:val="00FF7698"/>
    <w:rsid w:val="00FF7944"/>
    <w:rsid w:val="00FF7A9F"/>
    <w:rsid w:val="00FF7BCA"/>
    <w:rsid w:val="00FF7CF4"/>
    <w:rsid w:val="00FF7DD4"/>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261D53B"/>
  <w15:docId w15:val="{8AE85C01-C7E7-45EF-8426-5F961A8B53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qFormat="1"/>
    <w:lsdException w:name="footnote text" w:locked="1" w:semiHidden="1" w:unhideWhenUsed="1" w:qFormat="1"/>
    <w:lsdException w:name="annotation text" w:locked="1" w:semiHidden="1" w:uiPriority="0" w:unhideWhenUsed="1"/>
    <w:lsdException w:name="header" w:locked="1" w:semiHidden="1" w:uiPriority="0" w:unhideWhenUsed="1" w:qFormat="1"/>
    <w:lsdException w:name="footer" w:locked="1" w:semiHidden="1" w:unhideWhenUsed="1"/>
    <w:lsdException w:name="index heading" w:locked="1" w:semiHidden="1" w:unhideWhenUsed="1"/>
    <w:lsdException w:name="caption" w:semiHidden="1" w:uiPriority="35" w:unhideWhenUsed="1" w:qFormat="1"/>
    <w:lsdException w:name="table of figures" w:locked="1" w:semiHidden="1" w:unhideWhenUsed="1" w:qFormat="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iPriority="0" w:unhideWhenUsed="1"/>
    <w:lsdException w:name="line number" w:locked="1" w:semiHidden="1" w:unhideWhenUsed="1"/>
    <w:lsdException w:name="page number" w:locked="1" w:semiHidden="1" w:unhideWhenUsed="1"/>
    <w:lsdException w:name="endnote reference" w:locked="1" w:semiHidden="1" w:uiPriority="0"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qFormat="1"/>
    <w:lsdException w:name="Body Text Indent" w:locked="1" w:semiHidden="1" w:uiPriority="0" w:unhideWhenUsed="1"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lsdException w:name="Medium Shading 1 Accent 5"/>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2E60"/>
    <w:rPr>
      <w:noProof/>
      <w:sz w:val="24"/>
      <w:szCs w:val="24"/>
      <w:lang w:val="hy-AM"/>
    </w:rPr>
  </w:style>
  <w:style w:type="paragraph" w:styleId="Heading1">
    <w:name w:val="heading 1"/>
    <w:basedOn w:val="Normal"/>
    <w:next w:val="Normal"/>
    <w:link w:val="Heading1Char1"/>
    <w:uiPriority w:val="9"/>
    <w:qFormat/>
    <w:rsid w:val="002D4A3F"/>
    <w:pPr>
      <w:keepNext/>
      <w:outlineLvl w:val="0"/>
    </w:pPr>
    <w:rPr>
      <w:rFonts w:ascii="Times Armenian" w:hAnsi="Times Armenian"/>
      <w:b/>
      <w:i/>
      <w:sz w:val="28"/>
      <w:szCs w:val="20"/>
    </w:rPr>
  </w:style>
  <w:style w:type="paragraph" w:styleId="Heading2">
    <w:name w:val="heading 2"/>
    <w:aliases w:val="Paranum"/>
    <w:basedOn w:val="Normal"/>
    <w:next w:val="Normal"/>
    <w:link w:val="Heading2Char"/>
    <w:qFormat/>
    <w:rsid w:val="00DF6640"/>
    <w:pPr>
      <w:keepNext/>
      <w:spacing w:before="360" w:after="240"/>
      <w:ind w:firstLine="567"/>
      <w:jc w:val="both"/>
      <w:outlineLvl w:val="1"/>
    </w:pPr>
    <w:rPr>
      <w:rFonts w:ascii="GHEA Grapalat" w:hAnsi="GHEA Grapalat"/>
      <w:b/>
      <w:sz w:val="22"/>
      <w:szCs w:val="22"/>
      <w:lang w:val="de-AT"/>
    </w:rPr>
  </w:style>
  <w:style w:type="paragraph" w:styleId="Heading3">
    <w:name w:val="heading 3"/>
    <w:aliases w:val="Centered,(text),(Sub-Chapter),Heading 3 Char Char Char Char Char Char"/>
    <w:basedOn w:val="Normal"/>
    <w:next w:val="Normal"/>
    <w:link w:val="Heading3Char1"/>
    <w:uiPriority w:val="9"/>
    <w:qFormat/>
    <w:rsid w:val="002D4A3F"/>
    <w:pPr>
      <w:keepNext/>
      <w:spacing w:before="240" w:after="240"/>
      <w:ind w:firstLine="720"/>
      <w:outlineLvl w:val="2"/>
    </w:pPr>
    <w:rPr>
      <w:rFonts w:ascii="Times Armenian" w:hAnsi="Times Armenian"/>
      <w:b/>
      <w:i/>
      <w:sz w:val="26"/>
      <w:szCs w:val="20"/>
      <w:u w:val="single"/>
    </w:rPr>
  </w:style>
  <w:style w:type="paragraph" w:styleId="Heading4">
    <w:name w:val="heading 4"/>
    <w:aliases w:val="Абзац списка2,List Paragraph5,PDP DOCUMENT SUBTITLE,Table no. List Paragraph,Абзац списка3,Bullet Points,List Paragraph111,Bullet paras,OBC Bullet,Normal numbered,Titulo 2,Report Para,Number Bullets,Resume Title,heading 4,Citation List,Centred"/>
    <w:basedOn w:val="CM4"/>
    <w:next w:val="Normal"/>
    <w:link w:val="Heading4Char2"/>
    <w:uiPriority w:val="9"/>
    <w:qFormat/>
    <w:rsid w:val="00532AB3"/>
    <w:pPr>
      <w:widowControl/>
      <w:autoSpaceDE/>
      <w:autoSpaceDN/>
      <w:adjustRightInd/>
      <w:spacing w:after="200" w:line="276" w:lineRule="auto"/>
      <w:ind w:left="720"/>
      <w:outlineLvl w:val="3"/>
    </w:pPr>
    <w:rPr>
      <w:rFonts w:ascii="GHEA Grapalat" w:hAnsi="GHEA Grapalat"/>
      <w:b/>
      <w:i/>
      <w:lang w:val="de-AT"/>
    </w:rPr>
  </w:style>
  <w:style w:type="paragraph" w:styleId="Heading5">
    <w:name w:val="heading 5"/>
    <w:aliases w:val="Side"/>
    <w:basedOn w:val="Normal"/>
    <w:next w:val="Normal"/>
    <w:link w:val="Heading5Char2"/>
    <w:uiPriority w:val="9"/>
    <w:qFormat/>
    <w:rsid w:val="002D4A3F"/>
    <w:pPr>
      <w:keepNext/>
      <w:spacing w:line="360" w:lineRule="auto"/>
      <w:ind w:firstLine="720"/>
      <w:jc w:val="both"/>
      <w:outlineLvl w:val="4"/>
    </w:pPr>
    <w:rPr>
      <w:rFonts w:ascii="Times Armenian" w:hAnsi="Times Armenian"/>
      <w:b/>
      <w:noProof w:val="0"/>
      <w:szCs w:val="20"/>
      <w:lang w:val="en-US"/>
    </w:rPr>
  </w:style>
  <w:style w:type="paragraph" w:styleId="Heading6">
    <w:name w:val="heading 6"/>
    <w:basedOn w:val="Normal"/>
    <w:next w:val="Normal"/>
    <w:link w:val="Heading6Char"/>
    <w:uiPriority w:val="9"/>
    <w:qFormat/>
    <w:rsid w:val="002D4A3F"/>
    <w:pPr>
      <w:keepNext/>
      <w:spacing w:line="360" w:lineRule="auto"/>
      <w:ind w:left="720"/>
      <w:jc w:val="both"/>
      <w:outlineLvl w:val="5"/>
    </w:pPr>
    <w:rPr>
      <w:rFonts w:ascii="Times Armenian" w:hAnsi="Times Armenian"/>
      <w:u w:val="single"/>
    </w:rPr>
  </w:style>
  <w:style w:type="paragraph" w:styleId="Heading7">
    <w:name w:val="heading 7"/>
    <w:basedOn w:val="Normal"/>
    <w:next w:val="Normal"/>
    <w:link w:val="Heading7Char"/>
    <w:uiPriority w:val="99"/>
    <w:qFormat/>
    <w:rsid w:val="002D4A3F"/>
    <w:pPr>
      <w:keepNext/>
      <w:ind w:left="720"/>
      <w:jc w:val="both"/>
      <w:outlineLvl w:val="6"/>
    </w:pPr>
    <w:rPr>
      <w:rFonts w:ascii="Times Armenian" w:hAnsi="Times Armenian"/>
      <w:b/>
      <w:bCs/>
      <w:u w:val="single"/>
    </w:rPr>
  </w:style>
  <w:style w:type="paragraph" w:styleId="Heading8">
    <w:name w:val="heading 8"/>
    <w:basedOn w:val="Normal"/>
    <w:next w:val="Normal"/>
    <w:link w:val="Heading8Char"/>
    <w:uiPriority w:val="99"/>
    <w:qFormat/>
    <w:rsid w:val="002D4A3F"/>
    <w:pPr>
      <w:keepNext/>
      <w:spacing w:line="336" w:lineRule="auto"/>
      <w:jc w:val="center"/>
      <w:outlineLvl w:val="7"/>
    </w:pPr>
    <w:rPr>
      <w:rFonts w:ascii="Times Armenian" w:hAnsi="Times Armenian"/>
      <w:b/>
      <w:bCs/>
      <w:sz w:val="20"/>
    </w:rPr>
  </w:style>
  <w:style w:type="paragraph" w:styleId="Heading9">
    <w:name w:val="heading 9"/>
    <w:basedOn w:val="Normal"/>
    <w:next w:val="Normal"/>
    <w:link w:val="Heading9Char"/>
    <w:uiPriority w:val="99"/>
    <w:qFormat/>
    <w:rsid w:val="002D4A3F"/>
    <w:pPr>
      <w:overflowPunct w:val="0"/>
      <w:autoSpaceDE w:val="0"/>
      <w:autoSpaceDN w:val="0"/>
      <w:adjustRightInd w:val="0"/>
      <w:spacing w:before="240" w:after="60"/>
      <w:textAlignment w:val="baseline"/>
      <w:outlineLvl w:val="8"/>
    </w:pPr>
    <w:rPr>
      <w:noProof w:val="0"/>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locked/>
    <w:rsid w:val="002D4A3F"/>
    <w:rPr>
      <w:rFonts w:ascii="Times Armenian" w:hAnsi="Times Armenian" w:cs="Times New Roman"/>
      <w:b/>
      <w:i/>
      <w:noProof/>
      <w:sz w:val="28"/>
      <w:lang w:val="hy-AM" w:eastAsia="en-US"/>
    </w:rPr>
  </w:style>
  <w:style w:type="character" w:customStyle="1" w:styleId="Heading2Char">
    <w:name w:val="Heading 2 Char"/>
    <w:aliases w:val="Paranum Char"/>
    <w:link w:val="Heading2"/>
    <w:locked/>
    <w:rsid w:val="00DF6640"/>
    <w:rPr>
      <w:rFonts w:ascii="GHEA Grapalat" w:hAnsi="GHEA Grapalat" w:cs="Times New Roman"/>
      <w:b/>
      <w:noProof/>
      <w:sz w:val="22"/>
      <w:lang w:val="de-AT"/>
    </w:rPr>
  </w:style>
  <w:style w:type="character" w:customStyle="1" w:styleId="Heading3Char">
    <w:name w:val="Heading 3 Char"/>
    <w:aliases w:val="Centered Char,(text) Char,(Sub-Chapter) Char,Heading 3 Char Char Char Char Char Char Char"/>
    <w:uiPriority w:val="9"/>
    <w:locked/>
    <w:rsid w:val="002D4A3F"/>
    <w:rPr>
      <w:rFonts w:ascii="Times Armenian" w:hAnsi="Times Armenian" w:cs="Times New Roman"/>
      <w:b/>
      <w:sz w:val="24"/>
      <w:lang w:val="en-GB" w:eastAsia="en-US"/>
    </w:rPr>
  </w:style>
  <w:style w:type="character" w:customStyle="1" w:styleId="Heading4Char">
    <w:name w:val="Heading 4 Char"/>
    <w:aliases w:val="Абзац списка2 Char,List Paragraph5 Char,Centred Char1,PDP DOCUMENT SUBTITLE Char1,Table no. List Paragraph Char1,Абзац списка3 Char1,Bullet Points Char1,List Paragraph111 Char1,Bullet paras Char1,OBC Bullet Char1"/>
    <w:uiPriority w:val="9"/>
    <w:locked/>
    <w:rsid w:val="006F0D28"/>
    <w:rPr>
      <w:rFonts w:ascii="Calibri" w:hAnsi="Calibri" w:cs="Times New Roman"/>
      <w:b/>
      <w:bCs/>
      <w:noProof/>
      <w:sz w:val="28"/>
      <w:szCs w:val="28"/>
      <w:lang w:val="hy-AM"/>
    </w:rPr>
  </w:style>
  <w:style w:type="character" w:customStyle="1" w:styleId="Heading5Char">
    <w:name w:val="Heading 5 Char"/>
    <w:aliases w:val="Side Char"/>
    <w:uiPriority w:val="9"/>
    <w:locked/>
    <w:rsid w:val="006F0D28"/>
    <w:rPr>
      <w:rFonts w:ascii="Calibri" w:hAnsi="Calibri" w:cs="Times New Roman"/>
      <w:b/>
      <w:bCs/>
      <w:i/>
      <w:iCs/>
      <w:noProof/>
      <w:sz w:val="26"/>
      <w:szCs w:val="26"/>
      <w:lang w:val="hy-AM"/>
    </w:rPr>
  </w:style>
  <w:style w:type="character" w:customStyle="1" w:styleId="Heading6Char">
    <w:name w:val="Heading 6 Char"/>
    <w:link w:val="Heading6"/>
    <w:uiPriority w:val="9"/>
    <w:locked/>
    <w:rsid w:val="002D4A3F"/>
    <w:rPr>
      <w:rFonts w:ascii="Times Armenian" w:hAnsi="Times Armenian" w:cs="Times New Roman"/>
      <w:noProof/>
      <w:sz w:val="24"/>
      <w:u w:val="single"/>
      <w:lang w:val="hy-AM" w:eastAsia="en-US"/>
    </w:rPr>
  </w:style>
  <w:style w:type="character" w:customStyle="1" w:styleId="Heading7Char">
    <w:name w:val="Heading 7 Char"/>
    <w:link w:val="Heading7"/>
    <w:uiPriority w:val="99"/>
    <w:locked/>
    <w:rsid w:val="002D4A3F"/>
    <w:rPr>
      <w:rFonts w:ascii="Times Armenian" w:hAnsi="Times Armenian" w:cs="Times New Roman"/>
      <w:b/>
      <w:noProof/>
      <w:sz w:val="24"/>
      <w:u w:val="single"/>
      <w:lang w:val="hy-AM" w:eastAsia="en-US"/>
    </w:rPr>
  </w:style>
  <w:style w:type="character" w:customStyle="1" w:styleId="Heading8Char">
    <w:name w:val="Heading 8 Char"/>
    <w:link w:val="Heading8"/>
    <w:uiPriority w:val="99"/>
    <w:locked/>
    <w:rsid w:val="002D4A3F"/>
    <w:rPr>
      <w:rFonts w:ascii="Times Armenian" w:hAnsi="Times Armenian" w:cs="Times New Roman"/>
      <w:b/>
      <w:noProof/>
      <w:sz w:val="24"/>
      <w:lang w:val="hy-AM" w:eastAsia="en-US"/>
    </w:rPr>
  </w:style>
  <w:style w:type="character" w:customStyle="1" w:styleId="Heading9Char">
    <w:name w:val="Heading 9 Char"/>
    <w:link w:val="Heading9"/>
    <w:uiPriority w:val="99"/>
    <w:locked/>
    <w:rsid w:val="002D4A3F"/>
    <w:rPr>
      <w:rFonts w:cs="Times New Roman"/>
      <w:sz w:val="22"/>
      <w:lang w:val="en-GB" w:eastAsia="en-US"/>
    </w:rPr>
  </w:style>
  <w:style w:type="character" w:customStyle="1" w:styleId="Heading3Char1">
    <w:name w:val="Heading 3 Char1"/>
    <w:aliases w:val="Centered Char1,(text) Char1,(Sub-Chapter) Char1,Heading 3 Char Char Char Char Char Char Char1"/>
    <w:link w:val="Heading3"/>
    <w:uiPriority w:val="99"/>
    <w:locked/>
    <w:rsid w:val="002D4A3F"/>
    <w:rPr>
      <w:rFonts w:ascii="Times Armenian" w:hAnsi="Times Armenian"/>
      <w:b/>
      <w:i/>
      <w:noProof/>
      <w:sz w:val="26"/>
      <w:u w:val="single"/>
      <w:lang w:val="hy-AM" w:eastAsia="en-US"/>
    </w:rPr>
  </w:style>
  <w:style w:type="paragraph" w:customStyle="1" w:styleId="CharCharCharCharCharCharCharCharCharChar">
    <w:name w:val="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1"/>
    <w:qFormat/>
    <w:rsid w:val="002D4A3F"/>
    <w:pPr>
      <w:tabs>
        <w:tab w:val="center" w:pos="4320"/>
        <w:tab w:val="right" w:pos="8640"/>
      </w:tabs>
    </w:pPr>
    <w:rPr>
      <w:szCs w:val="20"/>
    </w:rPr>
  </w:style>
  <w:style w:type="character" w:customStyle="1" w:styleId="HeaderChar">
    <w:name w:val="Header Char"/>
    <w:aliases w:val="Header Char Char Char Char Char Char Char Char Char Char Char,Header Char Char Char Char Char Char Char Char Char Char Char Char Char,h Char,Header Char Char Char Char Char,Header Char Char Char Char1,Header Char Char Char1"/>
    <w:locked/>
    <w:rsid w:val="006F0D28"/>
    <w:rPr>
      <w:rFonts w:cs="Times New Roman"/>
      <w:noProof/>
      <w:sz w:val="24"/>
      <w:szCs w:val="24"/>
      <w:lang w:val="hy-AM"/>
    </w:rPr>
  </w:style>
  <w:style w:type="paragraph" w:styleId="BodyText2">
    <w:name w:val="Body Text 2"/>
    <w:basedOn w:val="Normal"/>
    <w:link w:val="BodyText2Char1"/>
    <w:uiPriority w:val="99"/>
    <w:rsid w:val="002D4A3F"/>
    <w:pPr>
      <w:spacing w:line="360" w:lineRule="auto"/>
      <w:jc w:val="both"/>
    </w:pPr>
    <w:rPr>
      <w:rFonts w:ascii="Times Armenian" w:hAnsi="Times Armenian"/>
      <w:szCs w:val="20"/>
    </w:rPr>
  </w:style>
  <w:style w:type="character" w:customStyle="1" w:styleId="BodyText2Char">
    <w:name w:val="Body Text 2 Char"/>
    <w:uiPriority w:val="99"/>
    <w:locked/>
    <w:rsid w:val="002D4A3F"/>
    <w:rPr>
      <w:rFonts w:ascii="Times Armenian" w:hAnsi="Times Armenian" w:cs="Times New Roman"/>
      <w:sz w:val="24"/>
      <w:lang w:val="en-US" w:eastAsia="en-US"/>
    </w:rPr>
  </w:style>
  <w:style w:type="character" w:customStyle="1" w:styleId="BodyText2Char1">
    <w:name w:val="Body Text 2 Char1"/>
    <w:link w:val="BodyText2"/>
    <w:uiPriority w:val="99"/>
    <w:locked/>
    <w:rsid w:val="002D4A3F"/>
    <w:rPr>
      <w:rFonts w:ascii="Times Armenian" w:hAnsi="Times Armenian"/>
      <w:noProof/>
      <w:sz w:val="24"/>
      <w:lang w:val="hy-AM" w:eastAsia="en-US"/>
    </w:rPr>
  </w:style>
  <w:style w:type="paragraph" w:styleId="BodyTextIndent">
    <w:name w:val="Body Text Indent"/>
    <w:aliases w:val="Body Text Indent Char2,(Table Source) Char,(Table Source) Char2,(Table Source) Char Char1,Body Text Indent Char Char,(Table Source), (Table Source)"/>
    <w:basedOn w:val="Normal"/>
    <w:link w:val="BodyTextIndentChar"/>
    <w:qFormat/>
    <w:rsid w:val="002D4A3F"/>
    <w:pPr>
      <w:spacing w:line="360" w:lineRule="auto"/>
      <w:ind w:firstLine="720"/>
      <w:jc w:val="both"/>
    </w:pPr>
    <w:rPr>
      <w:rFonts w:ascii="Times Armenian" w:hAnsi="Times Armenian"/>
    </w:rPr>
  </w:style>
  <w:style w:type="character" w:customStyle="1" w:styleId="BodyTextIndentChar">
    <w:name w:val="Body Text Indent Char"/>
    <w:aliases w:val="Body Text Indent Char2 Char,(Table Source) Char Char,(Table Source) Char2 Char,(Table Source) Char Char1 Char,Body Text Indent Char Char Char,(Table Source) Char3, (Table Source) Char"/>
    <w:link w:val="BodyTextIndent"/>
    <w:locked/>
    <w:rsid w:val="006F0D28"/>
    <w:rPr>
      <w:rFonts w:cs="Times New Roman"/>
      <w:noProof/>
      <w:sz w:val="24"/>
      <w:szCs w:val="24"/>
      <w:lang w:val="hy-AM"/>
    </w:rPr>
  </w:style>
  <w:style w:type="paragraph" w:styleId="FootnoteText">
    <w:name w:val="footnote text"/>
    <w:aliases w:val="fn,ADB,single space,footnote text Char,fn Char,ADB Char,single space Char Char,FOOTNOTES Char,FOOTNOTES Char Char Char,FOOTNOTES,Footnote Text Char2 Char,Footnote Text Char1 Char Char,Footnote Text Char2 Char Char Char,f,footnote text"/>
    <w:basedOn w:val="Normal"/>
    <w:link w:val="FootnoteTextChar2"/>
    <w:uiPriority w:val="99"/>
    <w:qFormat/>
    <w:rsid w:val="002D4A3F"/>
    <w:rPr>
      <w:sz w:val="20"/>
      <w:szCs w:val="20"/>
    </w:rPr>
  </w:style>
  <w:style w:type="character" w:customStyle="1" w:styleId="FootnoteTextChar">
    <w:name w:val="Footnote Text Char"/>
    <w:aliases w:val="fn Char1,ADB Char1,single space Char,footnote text Char Char,fn Char Char,ADB Char Char,single space Char Char Char,FOOTNOTES Char Char,FOOTNOTES Char Char Char Char,FOOTNOTES Char1,Footnote Text Char2 Char Char,f Char"/>
    <w:uiPriority w:val="99"/>
    <w:locked/>
    <w:rsid w:val="006F0D28"/>
    <w:rPr>
      <w:rFonts w:cs="Times New Roman"/>
      <w:noProof/>
      <w:sz w:val="20"/>
      <w:szCs w:val="20"/>
      <w:lang w:val="hy-AM"/>
    </w:rPr>
  </w:style>
  <w:style w:type="character" w:customStyle="1" w:styleId="FootnoteTextChar2">
    <w:name w:val="Footnote Text Char2"/>
    <w:aliases w:val="fn Char4,ADB Char4,single space Char2,footnote text Char Char2,fn Char Char2,ADB Char Char2,single space Char Char Char2,FOOTNOTES Char Char1,FOOTNOTES Char Char Char Char2,FOOTNOTES Char3,Footnote Text Char2 Char Char1,f Char1"/>
    <w:link w:val="FootnoteText"/>
    <w:uiPriority w:val="99"/>
    <w:locked/>
    <w:rsid w:val="002D4A3F"/>
    <w:rPr>
      <w:noProof/>
      <w:lang w:val="hy-AM" w:eastAsia="en-US"/>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2D4A3F"/>
    <w:rPr>
      <w:rFonts w:cs="Times New Roman"/>
      <w:vertAlign w:val="superscript"/>
    </w:rPr>
  </w:style>
  <w:style w:type="paragraph" w:styleId="Footer">
    <w:name w:val="footer"/>
    <w:basedOn w:val="Normal"/>
    <w:link w:val="FooterChar1"/>
    <w:uiPriority w:val="99"/>
    <w:rsid w:val="002D4A3F"/>
    <w:pPr>
      <w:tabs>
        <w:tab w:val="center" w:pos="4320"/>
        <w:tab w:val="right" w:pos="8640"/>
      </w:tabs>
    </w:pPr>
    <w:rPr>
      <w:szCs w:val="20"/>
    </w:rPr>
  </w:style>
  <w:style w:type="character" w:customStyle="1" w:styleId="FooterChar">
    <w:name w:val="Footer Char"/>
    <w:uiPriority w:val="99"/>
    <w:locked/>
    <w:rsid w:val="002D4A3F"/>
    <w:rPr>
      <w:rFonts w:cs="Times New Roman"/>
      <w:noProof/>
      <w:sz w:val="24"/>
      <w:lang w:val="hy-AM" w:eastAsia="en-US"/>
    </w:rPr>
  </w:style>
  <w:style w:type="character" w:customStyle="1" w:styleId="FooterChar1">
    <w:name w:val="Footer Char1"/>
    <w:link w:val="Footer"/>
    <w:uiPriority w:val="99"/>
    <w:locked/>
    <w:rsid w:val="002D4A3F"/>
    <w:rPr>
      <w:noProof/>
      <w:sz w:val="24"/>
      <w:lang w:val="hy-AM" w:eastAsia="en-US"/>
    </w:rPr>
  </w:style>
  <w:style w:type="paragraph" w:styleId="BodyTextIndent2">
    <w:name w:val="Body Text Indent 2"/>
    <w:basedOn w:val="Normal"/>
    <w:link w:val="BodyTextIndent2Char"/>
    <w:uiPriority w:val="99"/>
    <w:rsid w:val="002D4A3F"/>
    <w:pPr>
      <w:overflowPunct w:val="0"/>
      <w:autoSpaceDE w:val="0"/>
      <w:autoSpaceDN w:val="0"/>
      <w:adjustRightInd w:val="0"/>
      <w:spacing w:line="360" w:lineRule="auto"/>
      <w:ind w:firstLine="720"/>
      <w:jc w:val="both"/>
      <w:textAlignment w:val="baseline"/>
    </w:pPr>
    <w:rPr>
      <w:rFonts w:ascii="Times Armenian" w:hAnsi="Times Armenian"/>
      <w:sz w:val="20"/>
      <w:szCs w:val="20"/>
    </w:rPr>
  </w:style>
  <w:style w:type="character" w:customStyle="1" w:styleId="BodyTextIndent2Char">
    <w:name w:val="Body Text Indent 2 Char"/>
    <w:link w:val="BodyTextIndent2"/>
    <w:uiPriority w:val="99"/>
    <w:locked/>
    <w:rsid w:val="00461412"/>
    <w:rPr>
      <w:rFonts w:ascii="Times Armenian" w:hAnsi="Times Armenian" w:cs="Times New Roman"/>
      <w:noProof/>
      <w:lang w:val="hy-AM"/>
    </w:rPr>
  </w:style>
  <w:style w:type="paragraph" w:styleId="BodyText3">
    <w:name w:val="Body Text 3"/>
    <w:basedOn w:val="Normal"/>
    <w:link w:val="BodyText3Char"/>
    <w:uiPriority w:val="99"/>
    <w:rsid w:val="002D4A3F"/>
    <w:pPr>
      <w:jc w:val="both"/>
    </w:pPr>
    <w:rPr>
      <w:rFonts w:ascii="Times Armenian" w:hAnsi="Times Armenian"/>
      <w:sz w:val="22"/>
      <w:szCs w:val="20"/>
      <w:lang w:val="en-GB"/>
    </w:rPr>
  </w:style>
  <w:style w:type="character" w:customStyle="1" w:styleId="BodyText3Char">
    <w:name w:val="Body Text 3 Char"/>
    <w:link w:val="BodyText3"/>
    <w:uiPriority w:val="99"/>
    <w:locked/>
    <w:rsid w:val="00461412"/>
    <w:rPr>
      <w:rFonts w:ascii="Times Armenian" w:hAnsi="Times Armenian" w:cs="Times New Roman"/>
      <w:noProof/>
      <w:sz w:val="22"/>
      <w:lang w:val="en-GB"/>
    </w:rPr>
  </w:style>
  <w:style w:type="character" w:styleId="PageNumber">
    <w:name w:val="page number"/>
    <w:uiPriority w:val="99"/>
    <w:rsid w:val="002D4A3F"/>
    <w:rPr>
      <w:rFonts w:cs="Times New Roman"/>
    </w:rPr>
  </w:style>
  <w:style w:type="paragraph" w:styleId="TOC1">
    <w:name w:val="toc 1"/>
    <w:basedOn w:val="Normal"/>
    <w:next w:val="Normal"/>
    <w:autoRedefine/>
    <w:uiPriority w:val="39"/>
    <w:rsid w:val="00EA4DFC"/>
    <w:pPr>
      <w:tabs>
        <w:tab w:val="right" w:leader="dot" w:pos="10198"/>
      </w:tabs>
    </w:pPr>
    <w:rPr>
      <w:rFonts w:ascii="GHEA Grapalat" w:hAnsi="GHEA Grapalat" w:cs="Sylfaen"/>
      <w:b/>
      <w:bCs/>
      <w:caps/>
      <w:color w:val="000000"/>
      <w:sz w:val="20"/>
      <w:szCs w:val="20"/>
      <w:lang w:val="en-US"/>
    </w:rPr>
  </w:style>
  <w:style w:type="paragraph" w:styleId="TOC2">
    <w:name w:val="toc 2"/>
    <w:basedOn w:val="Normal"/>
    <w:next w:val="Normal"/>
    <w:autoRedefine/>
    <w:uiPriority w:val="39"/>
    <w:rsid w:val="00913B53"/>
    <w:pPr>
      <w:tabs>
        <w:tab w:val="right" w:leader="dot" w:pos="10198"/>
      </w:tabs>
      <w:spacing w:line="276" w:lineRule="auto"/>
      <w:ind w:left="240"/>
      <w:jc w:val="center"/>
    </w:pPr>
    <w:rPr>
      <w:rFonts w:ascii="GHEA Grapalat" w:hAnsi="GHEA Grapalat"/>
      <w:bCs/>
      <w:sz w:val="20"/>
      <w:szCs w:val="20"/>
    </w:rPr>
  </w:style>
  <w:style w:type="paragraph" w:styleId="TOC3">
    <w:name w:val="toc 3"/>
    <w:basedOn w:val="Normal"/>
    <w:next w:val="Normal"/>
    <w:autoRedefine/>
    <w:uiPriority w:val="39"/>
    <w:rsid w:val="002D4A3F"/>
    <w:pPr>
      <w:ind w:left="480"/>
    </w:pPr>
    <w:rPr>
      <w:i/>
      <w:iCs/>
      <w:sz w:val="20"/>
      <w:szCs w:val="20"/>
    </w:rPr>
  </w:style>
  <w:style w:type="character" w:styleId="Hyperlink">
    <w:name w:val="Hyperlink"/>
    <w:uiPriority w:val="99"/>
    <w:rsid w:val="002D4A3F"/>
    <w:rPr>
      <w:rFonts w:cs="Times New Roman"/>
      <w:color w:val="0000FF"/>
      <w:u w:val="single"/>
    </w:rPr>
  </w:style>
  <w:style w:type="paragraph" w:styleId="BodyText">
    <w:name w:val="Body Text"/>
    <w:aliases w:val="(Main Text),date,Body Text (Main text)"/>
    <w:basedOn w:val="Normal"/>
    <w:link w:val="BodyTextChar2"/>
    <w:uiPriority w:val="99"/>
    <w:qFormat/>
    <w:rsid w:val="002D4A3F"/>
    <w:pPr>
      <w:spacing w:after="120"/>
    </w:pPr>
    <w:rPr>
      <w:szCs w:val="20"/>
    </w:rPr>
  </w:style>
  <w:style w:type="character" w:customStyle="1" w:styleId="BodyTextChar">
    <w:name w:val="Body Text Char"/>
    <w:aliases w:val="(Main Text) Char,date Char,Body Text (Main text) Char"/>
    <w:uiPriority w:val="99"/>
    <w:locked/>
    <w:rsid w:val="006F0D28"/>
    <w:rPr>
      <w:rFonts w:cs="Times New Roman"/>
      <w:noProof/>
      <w:sz w:val="24"/>
      <w:szCs w:val="24"/>
      <w:lang w:val="hy-AM"/>
    </w:rPr>
  </w:style>
  <w:style w:type="character" w:customStyle="1" w:styleId="BodyTextChar2">
    <w:name w:val="Body Text Char2"/>
    <w:aliases w:val="(Main Text) Char1,date Char1,Body Text (Main text) Char1"/>
    <w:link w:val="BodyText"/>
    <w:uiPriority w:val="99"/>
    <w:locked/>
    <w:rsid w:val="002D4A3F"/>
    <w:rPr>
      <w:noProof/>
      <w:sz w:val="24"/>
      <w:lang w:val="hy-AM" w:eastAsia="en-US"/>
    </w:rPr>
  </w:style>
  <w:style w:type="paragraph" w:customStyle="1" w:styleId="a1">
    <w:name w:val="???????"/>
    <w:uiPriority w:val="99"/>
    <w:qFormat/>
    <w:rsid w:val="002D4A3F"/>
    <w:rPr>
      <w:sz w:val="24"/>
      <w:lang w:eastAsia="ru-RU"/>
    </w:rPr>
  </w:style>
  <w:style w:type="paragraph" w:customStyle="1" w:styleId="10">
    <w:name w:val="???????1"/>
    <w:uiPriority w:val="99"/>
    <w:qFormat/>
    <w:rsid w:val="002D4A3F"/>
    <w:rPr>
      <w:lang w:val="ru-RU" w:eastAsia="ru-RU"/>
    </w:rPr>
  </w:style>
  <w:style w:type="paragraph" w:customStyle="1" w:styleId="3">
    <w:name w:val="???????? ????? ? ????????3"/>
    <w:basedOn w:val="a1"/>
    <w:uiPriority w:val="99"/>
    <w:qFormat/>
    <w:rsid w:val="002D4A3F"/>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2D4A3F"/>
    <w:pPr>
      <w:spacing w:after="160" w:line="240" w:lineRule="exact"/>
    </w:pPr>
    <w:rPr>
      <w:rFonts w:ascii="Arial" w:hAnsi="Arial" w:cs="Arial"/>
      <w:sz w:val="20"/>
      <w:szCs w:val="20"/>
    </w:rPr>
  </w:style>
  <w:style w:type="paragraph" w:customStyle="1" w:styleId="Armenian">
    <w:name w:val="Armenian"/>
    <w:basedOn w:val="Normal"/>
    <w:uiPriority w:val="99"/>
    <w:qFormat/>
    <w:rsid w:val="002D4A3F"/>
    <w:rPr>
      <w:rFonts w:ascii="Agg_Times1" w:hAnsi="Agg_Times1"/>
      <w:szCs w:val="20"/>
      <w:lang w:val="en-GB"/>
    </w:rPr>
  </w:style>
  <w:style w:type="paragraph" w:styleId="Title">
    <w:name w:val="Title"/>
    <w:basedOn w:val="Normal"/>
    <w:link w:val="TitleChar1"/>
    <w:uiPriority w:val="10"/>
    <w:qFormat/>
    <w:rsid w:val="002D4A3F"/>
    <w:pPr>
      <w:jc w:val="center"/>
    </w:pPr>
    <w:rPr>
      <w:rFonts w:ascii="Arial Armenian" w:hAnsi="Arial Armenian"/>
      <w:b/>
      <w:sz w:val="28"/>
      <w:szCs w:val="20"/>
    </w:rPr>
  </w:style>
  <w:style w:type="character" w:customStyle="1" w:styleId="TitleChar">
    <w:name w:val="Title Char"/>
    <w:uiPriority w:val="10"/>
    <w:locked/>
    <w:rsid w:val="002D4A3F"/>
    <w:rPr>
      <w:rFonts w:ascii="Arial Armenian" w:hAnsi="Arial Armenian" w:cs="Times New Roman"/>
      <w:b/>
      <w:noProof/>
      <w:sz w:val="28"/>
      <w:lang w:val="hy-AM" w:eastAsia="en-US"/>
    </w:rPr>
  </w:style>
  <w:style w:type="paragraph" w:styleId="BlockText">
    <w:name w:val="Block Text"/>
    <w:basedOn w:val="Normal"/>
    <w:uiPriority w:val="99"/>
    <w:rsid w:val="002D4A3F"/>
    <w:pPr>
      <w:tabs>
        <w:tab w:val="left" w:pos="900"/>
      </w:tabs>
      <w:overflowPunct w:val="0"/>
      <w:autoSpaceDE w:val="0"/>
      <w:autoSpaceDN w:val="0"/>
      <w:adjustRightInd w:val="0"/>
      <w:ind w:left="360" w:right="-90" w:firstLine="774"/>
      <w:jc w:val="both"/>
    </w:pPr>
    <w:rPr>
      <w:rFonts w:ascii="Times LatArm" w:hAnsi="Times LatArm"/>
      <w:sz w:val="28"/>
      <w:szCs w:val="20"/>
      <w:lang w:val="en-GB"/>
    </w:rPr>
  </w:style>
  <w:style w:type="paragraph" w:styleId="NormalWeb">
    <w:name w:val="Normal (Web)"/>
    <w:aliases w:val="webb,Обычный (веб) Знак Знак,Знак Знак Знак Знак,Обычный (веб) Знак Знак Знак,Знак Знак Знак1 Знак Знак Знак Знак Знак,Знак1,Знак,Char Char,Обычный (веб), webb, Char Char, Char, Char Char Char Char"/>
    <w:basedOn w:val="Normal"/>
    <w:link w:val="NormalWebChar"/>
    <w:uiPriority w:val="99"/>
    <w:qFormat/>
    <w:rsid w:val="00532AB3"/>
    <w:pPr>
      <w:spacing w:after="160" w:line="240" w:lineRule="exact"/>
    </w:pPr>
    <w:rPr>
      <w:szCs w:val="20"/>
    </w:rPr>
  </w:style>
  <w:style w:type="paragraph" w:styleId="BodyTextIndent3">
    <w:name w:val="Body Text Indent 3"/>
    <w:basedOn w:val="Normal"/>
    <w:link w:val="BodyTextIndent3Char"/>
    <w:uiPriority w:val="99"/>
    <w:rsid w:val="002D4A3F"/>
    <w:pPr>
      <w:spacing w:after="120"/>
      <w:ind w:left="360"/>
    </w:pPr>
    <w:rPr>
      <w:sz w:val="16"/>
      <w:szCs w:val="16"/>
    </w:rPr>
  </w:style>
  <w:style w:type="character" w:customStyle="1" w:styleId="BodyTextIndent3Char">
    <w:name w:val="Body Text Indent 3 Char"/>
    <w:link w:val="BodyTextIndent3"/>
    <w:uiPriority w:val="99"/>
    <w:locked/>
    <w:rsid w:val="00461412"/>
    <w:rPr>
      <w:rFonts w:cs="Times New Roman"/>
      <w:noProof/>
      <w:sz w:val="16"/>
      <w:lang w:val="hy-AM"/>
    </w:rPr>
  </w:style>
  <w:style w:type="table" w:styleId="TableGrid">
    <w:name w:val="Table Grid"/>
    <w:basedOn w:val="TableNormal"/>
    <w:uiPriority w:val="39"/>
    <w:rsid w:val="002D4A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1"/>
    <w:uiPriority w:val="99"/>
    <w:rsid w:val="002D4A3F"/>
    <w:rPr>
      <w:rFonts w:ascii="Tahoma" w:hAnsi="Tahoma"/>
      <w:sz w:val="16"/>
      <w:szCs w:val="20"/>
    </w:rPr>
  </w:style>
  <w:style w:type="character" w:customStyle="1" w:styleId="BalloonTextChar">
    <w:name w:val="Balloon Text Char"/>
    <w:uiPriority w:val="99"/>
    <w:locked/>
    <w:rsid w:val="002D4A3F"/>
    <w:rPr>
      <w:rFonts w:ascii="Tahoma" w:hAnsi="Tahoma" w:cs="Times New Roman"/>
      <w:noProof/>
      <w:sz w:val="16"/>
      <w:lang w:val="hy-AM" w:eastAsia="en-US"/>
    </w:rPr>
  </w:style>
  <w:style w:type="paragraph" w:customStyle="1" w:styleId="11">
    <w:name w:val="????????1"/>
    <w:basedOn w:val="a1"/>
    <w:uiPriority w:val="99"/>
    <w:qFormat/>
    <w:rsid w:val="002D4A3F"/>
    <w:pPr>
      <w:jc w:val="center"/>
    </w:pPr>
    <w:rPr>
      <w:rFonts w:ascii="Times Armenian" w:hAnsi="Times Armenian"/>
      <w:i/>
      <w:sz w:val="28"/>
    </w:rPr>
  </w:style>
  <w:style w:type="paragraph" w:customStyle="1" w:styleId="ListParagraph2">
    <w:name w:val="List Paragraph2"/>
    <w:aliases w:val="Bullets,List Paragraph nowy,List Paragraph (numbered (a)),Liste 1,Akapit z listą BS,List Paragraph 1,List_Paragraph,Multilevel para_II,References,IBL List Paragraph,Numbered List Paragraph,Bullet1,List Paragraph4"/>
    <w:basedOn w:val="Normal"/>
    <w:link w:val="ListParagraphChar"/>
    <w:uiPriority w:val="99"/>
    <w:qFormat/>
    <w:rsid w:val="002D4A3F"/>
    <w:pPr>
      <w:spacing w:after="200" w:line="276" w:lineRule="auto"/>
      <w:ind w:left="720"/>
      <w:contextualSpacing/>
    </w:pPr>
    <w:rPr>
      <w:rFonts w:ascii="Calibri" w:hAnsi="Calibri"/>
      <w:noProof w:val="0"/>
      <w:sz w:val="22"/>
      <w:szCs w:val="20"/>
      <w:lang w:val="ru-RU"/>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2D4A3F"/>
    <w:pPr>
      <w:tabs>
        <w:tab w:val="left" w:pos="709"/>
      </w:tabs>
    </w:pPr>
    <w:rPr>
      <w:rFonts w:ascii="Tahoma" w:hAnsi="Tahoma"/>
      <w:noProof w:val="0"/>
      <w:lang w:val="pl-PL" w:eastAsia="pl-PL"/>
    </w:rPr>
  </w:style>
  <w:style w:type="paragraph" w:customStyle="1" w:styleId="CharCharCharCharChar">
    <w:name w:val="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
    <w:name w:val="Zchn Zchn1"/>
    <w:basedOn w:val="Normal"/>
    <w:uiPriority w:val="99"/>
    <w:qFormat/>
    <w:rsid w:val="002D4A3F"/>
    <w:pPr>
      <w:spacing w:after="160" w:line="240" w:lineRule="exact"/>
    </w:pPr>
    <w:rPr>
      <w:rFonts w:ascii="Verdana" w:hAnsi="Verdana"/>
      <w:noProof w:val="0"/>
      <w:sz w:val="20"/>
      <w:szCs w:val="20"/>
      <w:lang w:val="en-GB"/>
    </w:rPr>
  </w:style>
  <w:style w:type="paragraph" w:customStyle="1" w:styleId="Znak">
    <w:name w:val="Znak"/>
    <w:basedOn w:val="Normal"/>
    <w:uiPriority w:val="99"/>
    <w:qFormat/>
    <w:rsid w:val="002D4A3F"/>
    <w:pPr>
      <w:tabs>
        <w:tab w:val="left" w:pos="709"/>
      </w:tabs>
    </w:pPr>
    <w:rPr>
      <w:rFonts w:ascii="Tahoma" w:hAnsi="Tahoma"/>
      <w:noProof w:val="0"/>
      <w:lang w:val="pl-PL" w:eastAsia="pl-PL"/>
    </w:rPr>
  </w:style>
  <w:style w:type="paragraph" w:customStyle="1" w:styleId="a2">
    <w:name w:val="Знак Знак"/>
    <w:basedOn w:val="Normal"/>
    <w:uiPriority w:val="99"/>
    <w:qFormat/>
    <w:rsid w:val="002D4A3F"/>
    <w:pPr>
      <w:spacing w:after="160" w:line="240" w:lineRule="exact"/>
    </w:pPr>
    <w:rPr>
      <w:rFonts w:ascii="Arial" w:hAnsi="Arial" w:cs="Arial"/>
      <w:noProof w:val="0"/>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DefaultParagraphFontParaChar">
    <w:name w:val="Default Paragraph Font Para Char"/>
    <w:basedOn w:val="Normal"/>
    <w:uiPriority w:val="99"/>
    <w:qFormat/>
    <w:locked/>
    <w:rsid w:val="002D4A3F"/>
    <w:pPr>
      <w:spacing w:after="160"/>
    </w:pPr>
    <w:rPr>
      <w:rFonts w:ascii="Verdana" w:eastAsia="Batang" w:hAnsi="Verdana" w:cs="Verdana"/>
      <w:noProof w:val="0"/>
      <w:lang w:val="en-US"/>
    </w:rPr>
  </w:style>
  <w:style w:type="paragraph" w:customStyle="1" w:styleId="30">
    <w:name w:val="???????? ????? ? ???????? 3"/>
    <w:basedOn w:val="a1"/>
    <w:uiPriority w:val="99"/>
    <w:qFormat/>
    <w:rsid w:val="002D4A3F"/>
    <w:pPr>
      <w:ind w:firstLine="360"/>
      <w:jc w:val="both"/>
    </w:pPr>
    <w:rPr>
      <w:rFonts w:ascii="Times Armenian" w:hAnsi="Times Armenian"/>
      <w:lang w:val="af-ZA"/>
    </w:rPr>
  </w:style>
  <w:style w:type="paragraph" w:customStyle="1" w:styleId="a3">
    <w:name w:val="???????? ????? ? ????????"/>
    <w:basedOn w:val="10"/>
    <w:uiPriority w:val="99"/>
    <w:qFormat/>
    <w:rsid w:val="002D4A3F"/>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2D4A3F"/>
    <w:pPr>
      <w:tabs>
        <w:tab w:val="left" w:pos="709"/>
      </w:tabs>
    </w:pPr>
    <w:rPr>
      <w:rFonts w:ascii="Tahoma" w:hAnsi="Tahoma"/>
      <w:noProof w:val="0"/>
      <w:lang w:val="pl-PL" w:eastAsia="pl-PL"/>
    </w:rPr>
  </w:style>
  <w:style w:type="paragraph" w:customStyle="1" w:styleId="norm">
    <w:name w:val="norm"/>
    <w:basedOn w:val="Normal"/>
    <w:link w:val="normChar"/>
    <w:uiPriority w:val="99"/>
    <w:qFormat/>
    <w:rsid w:val="002D4A3F"/>
    <w:pPr>
      <w:spacing w:line="480" w:lineRule="auto"/>
      <w:ind w:firstLine="709"/>
      <w:jc w:val="both"/>
    </w:pPr>
    <w:rPr>
      <w:rFonts w:ascii="Arial Armenian" w:hAnsi="Arial Armenian"/>
      <w:noProof w:val="0"/>
      <w:sz w:val="22"/>
      <w:szCs w:val="20"/>
      <w:lang w:val="en-US" w:eastAsia="ru-RU"/>
    </w:rPr>
  </w:style>
  <w:style w:type="character" w:customStyle="1" w:styleId="normChar">
    <w:name w:val="norm Char"/>
    <w:link w:val="norm"/>
    <w:uiPriority w:val="99"/>
    <w:locked/>
    <w:rsid w:val="002D4A3F"/>
    <w:rPr>
      <w:rFonts w:ascii="Arial Armenian" w:hAnsi="Arial Armenian"/>
      <w:sz w:val="22"/>
      <w:lang w:val="en-US" w:eastAsia="ru-RU"/>
    </w:rPr>
  </w:style>
  <w:style w:type="character" w:styleId="Strong">
    <w:name w:val="Strong"/>
    <w:uiPriority w:val="22"/>
    <w:qFormat/>
    <w:rsid w:val="002D4A3F"/>
    <w:rPr>
      <w:rFonts w:cs="Times New Roman"/>
      <w:b/>
    </w:rPr>
  </w:style>
  <w:style w:type="paragraph" w:customStyle="1" w:styleId="Char1">
    <w:name w:val="Char1"/>
    <w:basedOn w:val="Normal"/>
    <w:next w:val="Normal"/>
    <w:uiPriority w:val="99"/>
    <w:qFormat/>
    <w:rsid w:val="002D4A3F"/>
    <w:pPr>
      <w:spacing w:after="160" w:line="240" w:lineRule="exact"/>
    </w:pPr>
    <w:rPr>
      <w:rFonts w:ascii="Tahoma" w:hAnsi="Tahoma"/>
      <w:noProof w:val="0"/>
      <w:szCs w:val="20"/>
      <w:lang w:val="en-US"/>
    </w:rPr>
  </w:style>
  <w:style w:type="paragraph" w:customStyle="1" w:styleId="BodyText21">
    <w:name w:val="Body Text 21"/>
    <w:basedOn w:val="Normal"/>
    <w:uiPriority w:val="99"/>
    <w:qFormat/>
    <w:rsid w:val="002D4A3F"/>
    <w:pPr>
      <w:autoSpaceDE w:val="0"/>
      <w:autoSpaceDN w:val="0"/>
      <w:spacing w:line="360" w:lineRule="auto"/>
    </w:pPr>
    <w:rPr>
      <w:rFonts w:ascii="Arial Armenian" w:hAnsi="Arial Armenian"/>
      <w:noProof w:val="0"/>
      <w:sz w:val="20"/>
      <w:szCs w:val="20"/>
      <w:lang w:val="en-US"/>
    </w:rPr>
  </w:style>
  <w:style w:type="character" w:customStyle="1" w:styleId="FootnoteTextChar3">
    <w:name w:val="Footnote Text Char3"/>
    <w:aliases w:val="FOOTNOTES Char2,Footnote Text Char1 Char,Footnote Text Char2 Char Char2,Footnote Text Char1 Char Char Char,Footnote Text Char2 Char Char Char Char,Footnote Text Char1 Char Char Char Char Char,Footnote Text Char31"/>
    <w:uiPriority w:val="99"/>
    <w:rsid w:val="002D4A3F"/>
    <w:rPr>
      <w:noProof/>
      <w:lang w:val="hy-AM" w:eastAsia="en-US"/>
    </w:rPr>
  </w:style>
  <w:style w:type="paragraph" w:customStyle="1" w:styleId="2">
    <w:name w:val="???????? ????? 2"/>
    <w:basedOn w:val="a1"/>
    <w:uiPriority w:val="99"/>
    <w:qFormat/>
    <w:rsid w:val="002D4A3F"/>
    <w:pPr>
      <w:jc w:val="center"/>
    </w:pPr>
    <w:rPr>
      <w:rFonts w:ascii="Times Armenian" w:hAnsi="Times Armenian"/>
      <w:i/>
      <w:sz w:val="28"/>
    </w:rPr>
  </w:style>
  <w:style w:type="paragraph" w:customStyle="1" w:styleId="Default">
    <w:name w:val="Default"/>
    <w:link w:val="DefaultChar"/>
    <w:qFormat/>
    <w:rsid w:val="002D4A3F"/>
    <w:pPr>
      <w:autoSpaceDE w:val="0"/>
      <w:autoSpaceDN w:val="0"/>
      <w:adjustRightInd w:val="0"/>
    </w:pPr>
    <w:rPr>
      <w:rFonts w:ascii="Warnock Pro" w:hAnsi="Warnock Pro"/>
      <w:color w:val="000000"/>
      <w:sz w:val="22"/>
      <w:szCs w:val="22"/>
    </w:rPr>
  </w:style>
  <w:style w:type="paragraph" w:styleId="TOCHeading">
    <w:name w:val="TOC Heading"/>
    <w:basedOn w:val="Heading1"/>
    <w:next w:val="Normal"/>
    <w:uiPriority w:val="39"/>
    <w:qFormat/>
    <w:rsid w:val="002D4A3F"/>
    <w:pPr>
      <w:keepLines/>
      <w:spacing w:before="480" w:line="276" w:lineRule="auto"/>
      <w:outlineLvl w:val="9"/>
    </w:pPr>
    <w:rPr>
      <w:rFonts w:ascii="Cambria" w:hAnsi="Cambria"/>
      <w:bCs/>
      <w:i w:val="0"/>
      <w:noProof w:val="0"/>
      <w:color w:val="376092"/>
      <w:szCs w:val="28"/>
      <w:lang w:val="en-US"/>
    </w:rPr>
  </w:style>
  <w:style w:type="character" w:styleId="Emphasis">
    <w:name w:val="Emphasis"/>
    <w:uiPriority w:val="99"/>
    <w:qFormat/>
    <w:rsid w:val="002D4A3F"/>
    <w:rPr>
      <w:rFonts w:cs="Times New Roman"/>
      <w:i/>
    </w:rPr>
  </w:style>
  <w:style w:type="character" w:styleId="CommentReference">
    <w:name w:val="annotation reference"/>
    <w:rsid w:val="002D4A3F"/>
    <w:rPr>
      <w:rFonts w:cs="Times New Roman"/>
      <w:sz w:val="16"/>
    </w:rPr>
  </w:style>
  <w:style w:type="paragraph" w:styleId="CommentText">
    <w:name w:val="annotation text"/>
    <w:basedOn w:val="Normal"/>
    <w:link w:val="CommentTextChar"/>
    <w:rsid w:val="0094390C"/>
    <w:rPr>
      <w:sz w:val="20"/>
      <w:szCs w:val="20"/>
    </w:rPr>
  </w:style>
  <w:style w:type="character" w:customStyle="1" w:styleId="CommentTextChar">
    <w:name w:val="Comment Text Char"/>
    <w:link w:val="CommentText"/>
    <w:locked/>
    <w:rsid w:val="0094390C"/>
    <w:rPr>
      <w:rFonts w:cs="Times New Roman"/>
      <w:noProof/>
      <w:lang w:val="hy-AM"/>
    </w:rPr>
  </w:style>
  <w:style w:type="paragraph" w:styleId="CommentSubject">
    <w:name w:val="annotation subject"/>
    <w:basedOn w:val="CommentText"/>
    <w:next w:val="CommentText"/>
    <w:link w:val="CommentSubjectChar"/>
    <w:uiPriority w:val="99"/>
    <w:rsid w:val="002D4A3F"/>
    <w:rPr>
      <w:b/>
      <w:bCs/>
    </w:rPr>
  </w:style>
  <w:style w:type="character" w:customStyle="1" w:styleId="CommentSubjectChar">
    <w:name w:val="Comment Subject Char"/>
    <w:link w:val="CommentSubject"/>
    <w:uiPriority w:val="99"/>
    <w:locked/>
    <w:rsid w:val="002D4A3F"/>
    <w:rPr>
      <w:rFonts w:cs="Times New Roman"/>
      <w:b/>
      <w:noProof/>
      <w:lang w:val="hy-AM" w:eastAsia="en-US"/>
    </w:rPr>
  </w:style>
  <w:style w:type="paragraph" w:customStyle="1" w:styleId="CharCharCharCharCharCharCharCharCharChar4">
    <w:name w:val="Char Char Char Char Char Char Char Char Char Char4"/>
    <w:basedOn w:val="Normal"/>
    <w:uiPriority w:val="99"/>
    <w:qFormat/>
    <w:rsid w:val="002D4A3F"/>
    <w:pPr>
      <w:spacing w:after="160" w:line="240" w:lineRule="exact"/>
    </w:pPr>
    <w:rPr>
      <w:rFonts w:ascii="Arial" w:hAnsi="Arial" w:cs="Arial"/>
      <w:noProof w:val="0"/>
      <w:sz w:val="20"/>
      <w:szCs w:val="20"/>
      <w:lang w:val="en-US"/>
    </w:rPr>
  </w:style>
  <w:style w:type="character" w:styleId="FollowedHyperlink">
    <w:name w:val="FollowedHyperlink"/>
    <w:uiPriority w:val="99"/>
    <w:rsid w:val="002D4A3F"/>
    <w:rPr>
      <w:rFonts w:cs="Times New Roman"/>
      <w:color w:val="800080"/>
      <w:u w:val="single"/>
    </w:rPr>
  </w:style>
  <w:style w:type="paragraph" w:customStyle="1" w:styleId="Char3CharCharChar">
    <w:name w:val="Char3 Char Char Char"/>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ListParagraph1">
    <w:name w:val="List Paragraph1"/>
    <w:aliases w:val="Абзац списка1,Paragraphe de liste PBLH"/>
    <w:basedOn w:val="Normal"/>
    <w:uiPriority w:val="99"/>
    <w:qFormat/>
    <w:rsid w:val="002D4A3F"/>
    <w:pPr>
      <w:ind w:left="720"/>
      <w:contextualSpacing/>
    </w:pPr>
    <w:rPr>
      <w:noProof w:val="0"/>
      <w:sz w:val="20"/>
      <w:szCs w:val="20"/>
      <w:lang w:val="en-AU" w:eastAsia="ru-RU"/>
    </w:rPr>
  </w:style>
  <w:style w:type="paragraph" w:customStyle="1" w:styleId="CharChar1CharCharChar1Char">
    <w:name w:val="Char Char1 Char Char Char1 Char"/>
    <w:basedOn w:val="Normal"/>
    <w:autoRedefine/>
    <w:uiPriority w:val="99"/>
    <w:qFormat/>
    <w:rsid w:val="002D4A3F"/>
    <w:rPr>
      <w:rFonts w:eastAsia="SimSun"/>
      <w:noProof w:val="0"/>
      <w:sz w:val="20"/>
      <w:szCs w:val="20"/>
      <w:lang w:val="en-US" w:eastAsia="ru-RU"/>
    </w:rPr>
  </w:style>
  <w:style w:type="paragraph" w:customStyle="1" w:styleId="mechtex">
    <w:name w:val="mechtex"/>
    <w:basedOn w:val="Normal"/>
    <w:link w:val="mechtexChar"/>
    <w:uiPriority w:val="99"/>
    <w:qFormat/>
    <w:rsid w:val="002D4A3F"/>
    <w:pPr>
      <w:jc w:val="center"/>
    </w:pPr>
    <w:rPr>
      <w:rFonts w:ascii="Arial Armenian" w:hAnsi="Arial Armenian"/>
      <w:noProof w:val="0"/>
      <w:sz w:val="22"/>
      <w:szCs w:val="20"/>
      <w:lang w:val="en-US" w:eastAsia="ru-RU"/>
    </w:rPr>
  </w:style>
  <w:style w:type="character" w:customStyle="1" w:styleId="mechtexChar">
    <w:name w:val="mechtex Char"/>
    <w:link w:val="mechtex"/>
    <w:uiPriority w:val="99"/>
    <w:locked/>
    <w:rsid w:val="002D4A3F"/>
    <w:rPr>
      <w:rFonts w:ascii="Arial Armenian" w:hAnsi="Arial Armenian"/>
      <w:sz w:val="22"/>
      <w:lang w:val="en-US" w:eastAsia="ru-RU"/>
    </w:rPr>
  </w:style>
  <w:style w:type="paragraph" w:customStyle="1" w:styleId="6">
    <w:name w:val="Знак Знак6"/>
    <w:basedOn w:val="Normal"/>
    <w:autoRedefine/>
    <w:uiPriority w:val="99"/>
    <w:qFormat/>
    <w:rsid w:val="002D4A3F"/>
    <w:rPr>
      <w:rFonts w:eastAsia="SimSun"/>
      <w:noProof w:val="0"/>
      <w:sz w:val="20"/>
      <w:szCs w:val="20"/>
      <w:lang w:val="en-US" w:eastAsia="ru-RU"/>
    </w:rPr>
  </w:style>
  <w:style w:type="paragraph" w:customStyle="1" w:styleId="Znak4">
    <w:name w:val="Znak4"/>
    <w:basedOn w:val="Normal"/>
    <w:uiPriority w:val="99"/>
    <w:qFormat/>
    <w:rsid w:val="002D4A3F"/>
    <w:pPr>
      <w:tabs>
        <w:tab w:val="left" w:pos="709"/>
      </w:tabs>
    </w:pPr>
    <w:rPr>
      <w:rFonts w:ascii="Tahoma" w:hAnsi="Tahoma"/>
      <w:noProof w:val="0"/>
      <w:lang w:val="pl-PL" w:eastAsia="pl-PL"/>
    </w:rPr>
  </w:style>
  <w:style w:type="paragraph" w:styleId="EndnoteText">
    <w:name w:val="endnote text"/>
    <w:basedOn w:val="Normal"/>
    <w:link w:val="EndnoteTextChar"/>
    <w:uiPriority w:val="99"/>
    <w:rsid w:val="002D4A3F"/>
    <w:rPr>
      <w:noProof w:val="0"/>
      <w:sz w:val="20"/>
      <w:szCs w:val="20"/>
      <w:lang w:val="en-US"/>
    </w:rPr>
  </w:style>
  <w:style w:type="character" w:customStyle="1" w:styleId="EndnoteTextChar">
    <w:name w:val="Endnote Text Char"/>
    <w:link w:val="EndnoteText"/>
    <w:uiPriority w:val="99"/>
    <w:locked/>
    <w:rsid w:val="002D4A3F"/>
    <w:rPr>
      <w:rFonts w:cs="Times New Roman"/>
      <w:lang w:val="en-US" w:eastAsia="en-US"/>
    </w:rPr>
  </w:style>
  <w:style w:type="character" w:customStyle="1" w:styleId="t101">
    <w:name w:val="t101"/>
    <w:uiPriority w:val="99"/>
    <w:rsid w:val="002D4A3F"/>
    <w:rPr>
      <w:b/>
      <w:color w:val="0000FF"/>
    </w:rPr>
  </w:style>
  <w:style w:type="character" w:customStyle="1" w:styleId="Char">
    <w:name w:val="Char"/>
    <w:uiPriority w:val="99"/>
    <w:rsid w:val="002D4A3F"/>
    <w:rPr>
      <w:rFonts w:ascii="Times Armenian" w:hAnsi="Times Armenian"/>
      <w:sz w:val="22"/>
      <w:lang w:val="en-GB" w:eastAsia="en-US"/>
    </w:rPr>
  </w:style>
  <w:style w:type="paragraph" w:styleId="Caption">
    <w:name w:val="caption"/>
    <w:basedOn w:val="Normal"/>
    <w:next w:val="Normal"/>
    <w:uiPriority w:val="35"/>
    <w:qFormat/>
    <w:rsid w:val="002D4A3F"/>
    <w:pPr>
      <w:spacing w:before="120" w:after="120"/>
      <w:jc w:val="both"/>
    </w:pPr>
    <w:rPr>
      <w:rFonts w:ascii="Times Armenian" w:hAnsi="Times Armenian"/>
      <w:b/>
      <w:bCs/>
      <w:noProof w:val="0"/>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2D4A3F"/>
    <w:pPr>
      <w:spacing w:after="120"/>
      <w:ind w:left="360"/>
    </w:pPr>
    <w:rPr>
      <w:noProof w:val="0"/>
      <w:sz w:val="20"/>
      <w:lang w:val="en-US"/>
    </w:rPr>
  </w:style>
  <w:style w:type="table" w:styleId="TableColumns2">
    <w:name w:val="Table Columns 2"/>
    <w:basedOn w:val="TableNormal"/>
    <w:uiPriority w:val="99"/>
    <w:rsid w:val="002D4A3F"/>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2D4A3F"/>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2D4A3F"/>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2D4A3F"/>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
    <w:name w:val="Char Char Char1 Char Char Char Char Char Char Char Char Char1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8">
    <w:name w:val="Char8"/>
    <w:basedOn w:val="Normal"/>
    <w:uiPriority w:val="99"/>
    <w:qFormat/>
    <w:locked/>
    <w:rsid w:val="002D4A3F"/>
    <w:pPr>
      <w:spacing w:after="160"/>
    </w:pPr>
    <w:rPr>
      <w:rFonts w:ascii="Verdana" w:eastAsia="Batang" w:hAnsi="Verdana" w:cs="Verdana"/>
      <w:noProof w:val="0"/>
      <w:lang w:val="en-US"/>
    </w:rPr>
  </w:style>
  <w:style w:type="paragraph" w:customStyle="1" w:styleId="12">
    <w:name w:val="Знак Знак1"/>
    <w:basedOn w:val="Normal"/>
    <w:uiPriority w:val="99"/>
    <w:qFormat/>
    <w:rsid w:val="002D4A3F"/>
    <w:pPr>
      <w:spacing w:after="160" w:line="240" w:lineRule="exact"/>
    </w:pPr>
    <w:rPr>
      <w:rFonts w:ascii="Arial" w:hAnsi="Arial" w:cs="Arial"/>
      <w:noProof w:val="0"/>
      <w:sz w:val="20"/>
      <w:szCs w:val="20"/>
      <w:lang w:val="en-US"/>
    </w:rPr>
  </w:style>
  <w:style w:type="paragraph" w:customStyle="1" w:styleId="CarCharCarCharCar1CharCar">
    <w:name w:val="Car Char Car Char Car1 Char Car"/>
    <w:basedOn w:val="Normal"/>
    <w:uiPriority w:val="99"/>
    <w:qFormat/>
    <w:rsid w:val="002D4A3F"/>
    <w:pPr>
      <w:spacing w:after="160" w:line="240" w:lineRule="exact"/>
    </w:pPr>
    <w:rPr>
      <w:rFonts w:ascii="Arial" w:hAnsi="Arial" w:cs="Arial"/>
      <w:b/>
      <w:bCs/>
      <w:noProof w:val="0"/>
      <w:sz w:val="20"/>
      <w:szCs w:val="20"/>
      <w:lang w:val="en-US"/>
    </w:rPr>
  </w:style>
  <w:style w:type="paragraph" w:customStyle="1" w:styleId="general">
    <w:name w:val="general"/>
    <w:basedOn w:val="Normal"/>
    <w:uiPriority w:val="99"/>
    <w:qFormat/>
    <w:rsid w:val="002D4A3F"/>
    <w:pPr>
      <w:spacing w:before="60" w:after="60"/>
    </w:pPr>
    <w:rPr>
      <w:rFonts w:ascii="Sylfaen" w:hAnsi="Sylfaen"/>
      <w:noProof w:val="0"/>
      <w:color w:val="354581"/>
      <w:sz w:val="20"/>
      <w:szCs w:val="20"/>
      <w:lang w:val="en-US"/>
    </w:rPr>
  </w:style>
  <w:style w:type="paragraph" w:customStyle="1" w:styleId="StyleHeading1SectionSectionHeadingText11Chapterhead3">
    <w:name w:val="Style Heading 1(Section)Section Heading(Text)1 1Chapterhead3..."/>
    <w:basedOn w:val="Default"/>
    <w:next w:val="Default"/>
    <w:uiPriority w:val="99"/>
    <w:qFormat/>
    <w:rsid w:val="002D4A3F"/>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2D4A3F"/>
    <w:rPr>
      <w:rFonts w:ascii="Sylfaen" w:hAnsi="Sylfaen"/>
      <w:color w:val="auto"/>
    </w:rPr>
  </w:style>
  <w:style w:type="paragraph" w:customStyle="1" w:styleId="BodyText1">
    <w:name w:val="Body Text1"/>
    <w:basedOn w:val="Default"/>
    <w:next w:val="Default"/>
    <w:uiPriority w:val="99"/>
    <w:qFormat/>
    <w:rsid w:val="002D4A3F"/>
    <w:rPr>
      <w:rFonts w:ascii="Sylfaen" w:hAnsi="Sylfaen"/>
      <w:color w:val="auto"/>
    </w:rPr>
  </w:style>
  <w:style w:type="paragraph" w:customStyle="1" w:styleId="20">
    <w:name w:val="Знак Знак2"/>
    <w:basedOn w:val="Normal"/>
    <w:uiPriority w:val="99"/>
    <w:qFormat/>
    <w:rsid w:val="002D4A3F"/>
    <w:pPr>
      <w:spacing w:after="160" w:line="240" w:lineRule="exact"/>
    </w:pPr>
    <w:rPr>
      <w:rFonts w:ascii="Arial" w:hAnsi="Arial" w:cs="Arial"/>
      <w:noProof w:val="0"/>
      <w:sz w:val="20"/>
      <w:szCs w:val="20"/>
      <w:lang w:val="en-US"/>
    </w:rPr>
  </w:style>
  <w:style w:type="paragraph" w:customStyle="1" w:styleId="Text">
    <w:name w:val="Text"/>
    <w:basedOn w:val="Normal"/>
    <w:uiPriority w:val="99"/>
    <w:qFormat/>
    <w:rsid w:val="002D4A3F"/>
    <w:pPr>
      <w:overflowPunct w:val="0"/>
      <w:autoSpaceDE w:val="0"/>
      <w:autoSpaceDN w:val="0"/>
      <w:adjustRightInd w:val="0"/>
      <w:spacing w:after="220"/>
      <w:jc w:val="both"/>
      <w:textAlignment w:val="baseline"/>
    </w:pPr>
    <w:rPr>
      <w:noProof w:val="0"/>
      <w:sz w:val="22"/>
      <w:szCs w:val="20"/>
      <w:lang w:val="en-GB"/>
    </w:rPr>
  </w:style>
  <w:style w:type="paragraph" w:styleId="ListBullet">
    <w:name w:val="List Bullet"/>
    <w:basedOn w:val="Normal"/>
    <w:autoRedefine/>
    <w:uiPriority w:val="99"/>
    <w:qFormat/>
    <w:rsid w:val="002D4A3F"/>
    <w:pPr>
      <w:tabs>
        <w:tab w:val="num" w:pos="360"/>
      </w:tabs>
      <w:overflowPunct w:val="0"/>
      <w:autoSpaceDE w:val="0"/>
      <w:autoSpaceDN w:val="0"/>
      <w:adjustRightInd w:val="0"/>
      <w:spacing w:before="130"/>
      <w:ind w:left="360" w:hanging="360"/>
      <w:jc w:val="both"/>
      <w:textAlignment w:val="baseline"/>
    </w:pPr>
    <w:rPr>
      <w:noProof w:val="0"/>
      <w:sz w:val="22"/>
      <w:szCs w:val="20"/>
      <w:lang w:val="en-GB"/>
    </w:r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2D4A3F"/>
    <w:rPr>
      <w:rFonts w:ascii="Times LatArm" w:hAnsi="Times LatArm"/>
      <w:b/>
      <w:sz w:val="40"/>
      <w:lang w:val="en-GB" w:eastAsia="en-US"/>
    </w:rPr>
  </w:style>
  <w:style w:type="paragraph" w:styleId="PlainText">
    <w:name w:val="Plain Text"/>
    <w:basedOn w:val="Normal"/>
    <w:link w:val="PlainTextChar1"/>
    <w:uiPriority w:val="99"/>
    <w:rsid w:val="002D4A3F"/>
    <w:rPr>
      <w:rFonts w:ascii="Courier New" w:hAnsi="Courier New"/>
      <w:noProof w:val="0"/>
      <w:sz w:val="20"/>
      <w:szCs w:val="20"/>
      <w:lang w:val="en-US"/>
    </w:rPr>
  </w:style>
  <w:style w:type="character" w:customStyle="1" w:styleId="PlainTextChar">
    <w:name w:val="Plain Text Char"/>
    <w:uiPriority w:val="99"/>
    <w:locked/>
    <w:rsid w:val="003263E2"/>
    <w:rPr>
      <w:rFonts w:ascii="Consolas" w:hAnsi="Consolas" w:cs="Times New Roman"/>
      <w:sz w:val="21"/>
    </w:rPr>
  </w:style>
  <w:style w:type="paragraph" w:customStyle="1" w:styleId="Tabletext">
    <w:name w:val="Tabletext"/>
    <w:basedOn w:val="Normal"/>
    <w:uiPriority w:val="99"/>
    <w:qFormat/>
    <w:rsid w:val="002D4A3F"/>
    <w:pPr>
      <w:overflowPunct w:val="0"/>
      <w:autoSpaceDE w:val="0"/>
      <w:autoSpaceDN w:val="0"/>
      <w:adjustRightInd w:val="0"/>
      <w:ind w:left="153" w:hanging="153"/>
      <w:textAlignment w:val="baseline"/>
    </w:pPr>
    <w:rPr>
      <w:noProof w:val="0"/>
      <w:sz w:val="18"/>
      <w:szCs w:val="20"/>
      <w:lang w:val="en-GB"/>
    </w:rPr>
  </w:style>
  <w:style w:type="paragraph" w:customStyle="1" w:styleId="Graphic">
    <w:name w:val="Graphic"/>
    <w:basedOn w:val="Text"/>
    <w:uiPriority w:val="99"/>
    <w:qFormat/>
    <w:rsid w:val="002D4A3F"/>
    <w:pPr>
      <w:keepNext/>
      <w:spacing w:after="130"/>
      <w:jc w:val="center"/>
    </w:pPr>
  </w:style>
  <w:style w:type="paragraph" w:customStyle="1" w:styleId="Bullet">
    <w:name w:val="Bullet"/>
    <w:aliases w:val="bl,Bullet L1,bl1"/>
    <w:basedOn w:val="Normal"/>
    <w:uiPriority w:val="99"/>
    <w:qFormat/>
    <w:rsid w:val="002D4A3F"/>
    <w:pPr>
      <w:numPr>
        <w:numId w:val="1"/>
      </w:numPr>
      <w:overflowPunct w:val="0"/>
      <w:autoSpaceDE w:val="0"/>
      <w:autoSpaceDN w:val="0"/>
      <w:adjustRightInd w:val="0"/>
      <w:spacing w:after="130"/>
      <w:jc w:val="both"/>
      <w:textAlignment w:val="baseline"/>
    </w:pPr>
    <w:rPr>
      <w:noProof w:val="0"/>
      <w:sz w:val="22"/>
      <w:szCs w:val="20"/>
      <w:lang w:val="en-GB"/>
    </w:rPr>
  </w:style>
  <w:style w:type="paragraph" w:styleId="ListBullet2">
    <w:name w:val="List Bullet 2"/>
    <w:basedOn w:val="Normal"/>
    <w:autoRedefine/>
    <w:uiPriority w:val="99"/>
    <w:rsid w:val="002D4A3F"/>
    <w:pPr>
      <w:tabs>
        <w:tab w:val="num" w:pos="643"/>
      </w:tabs>
      <w:ind w:left="643" w:hanging="360"/>
    </w:pPr>
    <w:rPr>
      <w:noProof w:val="0"/>
      <w:lang w:val="en-US"/>
    </w:rPr>
  </w:style>
  <w:style w:type="paragraph" w:styleId="ListContinue2">
    <w:name w:val="List Continue 2"/>
    <w:basedOn w:val="Normal"/>
    <w:uiPriority w:val="99"/>
    <w:rsid w:val="002D4A3F"/>
    <w:pPr>
      <w:spacing w:after="120"/>
      <w:ind w:left="720"/>
    </w:pPr>
    <w:rPr>
      <w:noProof w:val="0"/>
      <w:lang w:val="en-US"/>
    </w:rPr>
  </w:style>
  <w:style w:type="paragraph" w:customStyle="1" w:styleId="GlossaryHeader">
    <w:name w:val="Glossary Header"/>
    <w:next w:val="Normal"/>
    <w:uiPriority w:val="99"/>
    <w:qFormat/>
    <w:rsid w:val="002D4A3F"/>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2D4A3F"/>
    <w:rPr>
      <w:rFonts w:ascii="Arial" w:hAnsi="Arial"/>
      <w:noProof/>
      <w:sz w:val="18"/>
    </w:rPr>
  </w:style>
  <w:style w:type="paragraph" w:customStyle="1" w:styleId="KLegalHeading3">
    <w:name w:val="KLegal Heading 3"/>
    <w:basedOn w:val="Normal"/>
    <w:next w:val="Text"/>
    <w:uiPriority w:val="99"/>
    <w:qFormat/>
    <w:rsid w:val="002D4A3F"/>
    <w:pPr>
      <w:keepNext/>
      <w:tabs>
        <w:tab w:val="num" w:pos="2700"/>
      </w:tabs>
      <w:overflowPunct w:val="0"/>
      <w:autoSpaceDE w:val="0"/>
      <w:autoSpaceDN w:val="0"/>
      <w:adjustRightInd w:val="0"/>
      <w:spacing w:after="220"/>
      <w:ind w:left="1440" w:hanging="720"/>
      <w:jc w:val="both"/>
      <w:textAlignment w:val="baseline"/>
    </w:pPr>
    <w:rPr>
      <w:b/>
      <w:noProof w:val="0"/>
      <w:sz w:val="22"/>
      <w:szCs w:val="20"/>
      <w:lang w:val="en-GB"/>
    </w:rPr>
  </w:style>
  <w:style w:type="paragraph" w:customStyle="1" w:styleId="KLegalHeading4">
    <w:name w:val="KLegal Heading 4"/>
    <w:basedOn w:val="Normal"/>
    <w:next w:val="Text"/>
    <w:uiPriority w:val="99"/>
    <w:qFormat/>
    <w:rsid w:val="002D4A3F"/>
    <w:pPr>
      <w:keepNext/>
      <w:tabs>
        <w:tab w:val="num" w:pos="3420"/>
      </w:tabs>
      <w:overflowPunct w:val="0"/>
      <w:autoSpaceDE w:val="0"/>
      <w:autoSpaceDN w:val="0"/>
      <w:adjustRightInd w:val="0"/>
      <w:spacing w:after="220"/>
      <w:ind w:left="2160" w:hanging="720"/>
      <w:jc w:val="both"/>
      <w:textAlignment w:val="baseline"/>
    </w:pPr>
    <w:rPr>
      <w:b/>
      <w:i/>
      <w:noProof w:val="0"/>
      <w:sz w:val="22"/>
      <w:szCs w:val="20"/>
      <w:lang w:val="en-GB"/>
    </w:rPr>
  </w:style>
  <w:style w:type="paragraph" w:customStyle="1" w:styleId="KLegalHeading1">
    <w:name w:val="KLegal Heading 1"/>
    <w:basedOn w:val="Normal"/>
    <w:next w:val="KLegalHeading2"/>
    <w:uiPriority w:val="99"/>
    <w:qFormat/>
    <w:rsid w:val="002D4A3F"/>
    <w:pPr>
      <w:keepNext/>
      <w:pageBreakBefore/>
      <w:tabs>
        <w:tab w:val="num" w:pos="1260"/>
      </w:tabs>
      <w:overflowPunct w:val="0"/>
      <w:autoSpaceDE w:val="0"/>
      <w:autoSpaceDN w:val="0"/>
      <w:adjustRightInd w:val="0"/>
      <w:spacing w:after="440"/>
      <w:ind w:left="851" w:hanging="851"/>
      <w:jc w:val="both"/>
      <w:textAlignment w:val="baseline"/>
      <w:outlineLvl w:val="0"/>
    </w:pPr>
    <w:rPr>
      <w:b/>
      <w:noProof w:val="0"/>
      <w:sz w:val="32"/>
      <w:szCs w:val="20"/>
      <w:lang w:val="en-GB"/>
    </w:rPr>
  </w:style>
  <w:style w:type="paragraph" w:customStyle="1" w:styleId="KLegalHeading2">
    <w:name w:val="KLegal Heading 2"/>
    <w:basedOn w:val="Normal"/>
    <w:next w:val="KLegalHeading3"/>
    <w:uiPriority w:val="99"/>
    <w:qFormat/>
    <w:rsid w:val="002D4A3F"/>
    <w:pPr>
      <w:keepNext/>
      <w:tabs>
        <w:tab w:val="num" w:pos="1980"/>
      </w:tabs>
      <w:overflowPunct w:val="0"/>
      <w:autoSpaceDE w:val="0"/>
      <w:autoSpaceDN w:val="0"/>
      <w:adjustRightInd w:val="0"/>
      <w:spacing w:after="220"/>
      <w:ind w:left="851" w:hanging="851"/>
      <w:jc w:val="both"/>
      <w:textAlignment w:val="baseline"/>
      <w:outlineLvl w:val="1"/>
    </w:pPr>
    <w:rPr>
      <w:b/>
      <w:noProof w:val="0"/>
      <w:sz w:val="28"/>
      <w:szCs w:val="20"/>
      <w:lang w:val="en-GB"/>
    </w:rPr>
  </w:style>
  <w:style w:type="paragraph" w:customStyle="1" w:styleId="font5">
    <w:name w:val="font5"/>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6">
    <w:name w:val="font6"/>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font7">
    <w:name w:val="font7"/>
    <w:basedOn w:val="Normal"/>
    <w:uiPriority w:val="99"/>
    <w:qFormat/>
    <w:rsid w:val="002D4A3F"/>
    <w:pPr>
      <w:spacing w:before="100" w:beforeAutospacing="1" w:after="100" w:afterAutospacing="1"/>
    </w:pPr>
    <w:rPr>
      <w:rFonts w:ascii="Times Armenian" w:hAnsi="Times Armenian"/>
      <w:noProof w:val="0"/>
      <w:color w:val="000000"/>
      <w:sz w:val="20"/>
      <w:szCs w:val="20"/>
      <w:lang w:val="en-US"/>
    </w:rPr>
  </w:style>
  <w:style w:type="paragraph" w:customStyle="1" w:styleId="font8">
    <w:name w:val="font8"/>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9">
    <w:name w:val="font9"/>
    <w:basedOn w:val="Normal"/>
    <w:uiPriority w:val="99"/>
    <w:qFormat/>
    <w:rsid w:val="002D4A3F"/>
    <w:pPr>
      <w:spacing w:before="100" w:beforeAutospacing="1" w:after="100" w:afterAutospacing="1"/>
    </w:pPr>
    <w:rPr>
      <w:rFonts w:ascii="Times Armenian" w:hAnsi="Times Armenian"/>
      <w:noProof w:val="0"/>
      <w:color w:val="000000"/>
      <w:sz w:val="22"/>
      <w:szCs w:val="22"/>
      <w:lang w:val="en-US"/>
    </w:rPr>
  </w:style>
  <w:style w:type="paragraph" w:customStyle="1" w:styleId="font10">
    <w:name w:val="font10"/>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xl65">
    <w:name w:val="xl65"/>
    <w:basedOn w:val="Normal"/>
    <w:uiPriority w:val="99"/>
    <w:qFormat/>
    <w:rsid w:val="002D4A3F"/>
    <w:pPr>
      <w:spacing w:before="100" w:beforeAutospacing="1" w:after="100" w:afterAutospacing="1"/>
      <w:textAlignment w:val="center"/>
    </w:pPr>
    <w:rPr>
      <w:noProof w:val="0"/>
      <w:lang w:val="en-US"/>
    </w:rPr>
  </w:style>
  <w:style w:type="paragraph" w:customStyle="1" w:styleId="xl66">
    <w:name w:val="xl66"/>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67">
    <w:name w:val="xl67"/>
    <w:basedOn w:val="Normal"/>
    <w:uiPriority w:val="99"/>
    <w:qFormat/>
    <w:rsid w:val="002D4A3F"/>
    <w:pPr>
      <w:spacing w:before="100" w:beforeAutospacing="1" w:after="100" w:afterAutospacing="1"/>
      <w:jc w:val="center"/>
      <w:textAlignment w:val="center"/>
    </w:pPr>
    <w:rPr>
      <w:noProof w:val="0"/>
      <w:lang w:val="en-US"/>
    </w:rPr>
  </w:style>
  <w:style w:type="paragraph" w:customStyle="1" w:styleId="xl68">
    <w:name w:val="xl68"/>
    <w:basedOn w:val="Normal"/>
    <w:uiPriority w:val="99"/>
    <w:qFormat/>
    <w:rsid w:val="002D4A3F"/>
    <w:pPr>
      <w:spacing w:before="100" w:beforeAutospacing="1" w:after="100" w:afterAutospacing="1"/>
      <w:jc w:val="right"/>
      <w:textAlignment w:val="top"/>
    </w:pPr>
    <w:rPr>
      <w:rFonts w:ascii="Times Armenian" w:hAnsi="Times Armenian"/>
      <w:noProof w:val="0"/>
      <w:sz w:val="18"/>
      <w:szCs w:val="18"/>
      <w:lang w:val="en-US"/>
    </w:rPr>
  </w:style>
  <w:style w:type="paragraph" w:customStyle="1" w:styleId="xl69">
    <w:name w:val="xl69"/>
    <w:basedOn w:val="Normal"/>
    <w:uiPriority w:val="99"/>
    <w:qFormat/>
    <w:rsid w:val="002D4A3F"/>
    <w:pPr>
      <w:spacing w:before="100" w:beforeAutospacing="1" w:after="100" w:afterAutospacing="1"/>
      <w:jc w:val="both"/>
      <w:textAlignment w:val="top"/>
    </w:pPr>
    <w:rPr>
      <w:rFonts w:ascii="Times Armenian" w:hAnsi="Times Armenian"/>
      <w:noProof w:val="0"/>
      <w:sz w:val="18"/>
      <w:szCs w:val="18"/>
      <w:lang w:val="en-US"/>
    </w:rPr>
  </w:style>
  <w:style w:type="paragraph" w:customStyle="1" w:styleId="xl70">
    <w:name w:val="xl70"/>
    <w:basedOn w:val="Normal"/>
    <w:uiPriority w:val="99"/>
    <w:qFormat/>
    <w:rsid w:val="002D4A3F"/>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1">
    <w:name w:val="xl71"/>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2">
    <w:name w:val="xl72"/>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3">
    <w:name w:val="xl73"/>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4">
    <w:name w:val="xl74"/>
    <w:basedOn w:val="Normal"/>
    <w:uiPriority w:val="99"/>
    <w:qFormat/>
    <w:rsid w:val="002D4A3F"/>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5">
    <w:name w:val="xl75"/>
    <w:basedOn w:val="Normal"/>
    <w:uiPriority w:val="99"/>
    <w:qFormat/>
    <w:rsid w:val="002D4A3F"/>
    <w:pPr>
      <w:pBdr>
        <w:top w:val="double" w:sz="6"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6">
    <w:name w:val="xl76"/>
    <w:basedOn w:val="Normal"/>
    <w:uiPriority w:val="99"/>
    <w:qFormat/>
    <w:rsid w:val="002D4A3F"/>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7">
    <w:name w:val="xl77"/>
    <w:basedOn w:val="Normal"/>
    <w:uiPriority w:val="99"/>
    <w:qFormat/>
    <w:rsid w:val="002D4A3F"/>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8">
    <w:name w:val="xl78"/>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9">
    <w:name w:val="xl79"/>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0">
    <w:name w:val="xl80"/>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1">
    <w:name w:val="xl81"/>
    <w:basedOn w:val="Normal"/>
    <w:uiPriority w:val="99"/>
    <w:qFormat/>
    <w:rsid w:val="002D4A3F"/>
    <w:pPr>
      <w:pBdr>
        <w:top w:val="double" w:sz="6" w:space="0" w:color="auto"/>
        <w:lef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2">
    <w:name w:val="xl82"/>
    <w:basedOn w:val="Normal"/>
    <w:uiPriority w:val="99"/>
    <w:qFormat/>
    <w:rsid w:val="002D4A3F"/>
    <w:pPr>
      <w:pBdr>
        <w:top w:val="double" w:sz="6" w:space="0" w:color="auto"/>
        <w:righ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3">
    <w:name w:val="xl83"/>
    <w:basedOn w:val="Normal"/>
    <w:uiPriority w:val="99"/>
    <w:qFormat/>
    <w:rsid w:val="002D4A3F"/>
    <w:pPr>
      <w:pBdr>
        <w:left w:val="single" w:sz="8" w:space="0" w:color="auto"/>
        <w:bottom w:val="double" w:sz="6"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4">
    <w:name w:val="xl84"/>
    <w:basedOn w:val="Normal"/>
    <w:uiPriority w:val="99"/>
    <w:qFormat/>
    <w:rsid w:val="002D4A3F"/>
    <w:pPr>
      <w:pBdr>
        <w:bottom w:val="double" w:sz="6" w:space="0" w:color="auto"/>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5">
    <w:name w:val="xl85"/>
    <w:basedOn w:val="Normal"/>
    <w:uiPriority w:val="99"/>
    <w:qFormat/>
    <w:rsid w:val="002D4A3F"/>
    <w:pPr>
      <w:pBdr>
        <w:top w:val="double" w:sz="6"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6">
    <w:name w:val="xl86"/>
    <w:basedOn w:val="Normal"/>
    <w:uiPriority w:val="99"/>
    <w:qFormat/>
    <w:rsid w:val="002D4A3F"/>
    <w:pPr>
      <w:pBdr>
        <w:top w:val="double" w:sz="6"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7">
    <w:name w:val="xl87"/>
    <w:basedOn w:val="Normal"/>
    <w:uiPriority w:val="99"/>
    <w:qFormat/>
    <w:rsid w:val="002D4A3F"/>
    <w:pPr>
      <w:pBdr>
        <w:lef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8">
    <w:name w:val="xl88"/>
    <w:basedOn w:val="Normal"/>
    <w:uiPriority w:val="99"/>
    <w:qFormat/>
    <w:rsid w:val="002D4A3F"/>
    <w:pPr>
      <w:pBdr>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9">
    <w:name w:val="xl89"/>
    <w:basedOn w:val="Normal"/>
    <w:uiPriority w:val="99"/>
    <w:qFormat/>
    <w:rsid w:val="002D4A3F"/>
    <w:pPr>
      <w:pBdr>
        <w:left w:val="single" w:sz="8" w:space="0" w:color="auto"/>
        <w:bottom w:val="double" w:sz="6"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0">
    <w:name w:val="xl90"/>
    <w:basedOn w:val="Normal"/>
    <w:uiPriority w:val="99"/>
    <w:qFormat/>
    <w:rsid w:val="002D4A3F"/>
    <w:pPr>
      <w:pBdr>
        <w:bottom w:val="double" w:sz="6"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1">
    <w:name w:val="xl91"/>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92">
    <w:name w:val="xl92"/>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3">
    <w:name w:val="xl93"/>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4">
    <w:name w:val="xl94"/>
    <w:basedOn w:val="Normal"/>
    <w:uiPriority w:val="99"/>
    <w:qFormat/>
    <w:rsid w:val="002D4A3F"/>
    <w:pPr>
      <w:pBdr>
        <w:top w:val="single" w:sz="8"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5">
    <w:name w:val="xl95"/>
    <w:basedOn w:val="Normal"/>
    <w:uiPriority w:val="99"/>
    <w:qFormat/>
    <w:rsid w:val="002D4A3F"/>
    <w:pPr>
      <w:pBdr>
        <w:top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6">
    <w:name w:val="xl96"/>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7">
    <w:name w:val="xl97"/>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8">
    <w:name w:val="xl98"/>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9">
    <w:name w:val="xl99"/>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00">
    <w:name w:val="xl100"/>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1">
    <w:name w:val="xl101"/>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2">
    <w:name w:val="xl102"/>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3">
    <w:name w:val="xl103"/>
    <w:basedOn w:val="Normal"/>
    <w:uiPriority w:val="99"/>
    <w:qFormat/>
    <w:rsid w:val="002D4A3F"/>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04">
    <w:name w:val="xl104"/>
    <w:basedOn w:val="Normal"/>
    <w:uiPriority w:val="99"/>
    <w:qFormat/>
    <w:rsid w:val="002D4A3F"/>
    <w:pPr>
      <w:spacing w:before="100" w:beforeAutospacing="1" w:after="100" w:afterAutospacing="1"/>
      <w:textAlignment w:val="center"/>
    </w:pPr>
    <w:rPr>
      <w:rFonts w:ascii="Calibri" w:hAnsi="Calibri"/>
      <w:noProof w:val="0"/>
      <w:lang w:val="en-US"/>
    </w:rPr>
  </w:style>
  <w:style w:type="paragraph" w:customStyle="1" w:styleId="xl105">
    <w:name w:val="xl105"/>
    <w:basedOn w:val="Normal"/>
    <w:uiPriority w:val="99"/>
    <w:qFormat/>
    <w:rsid w:val="002D4A3F"/>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6">
    <w:name w:val="xl106"/>
    <w:basedOn w:val="Normal"/>
    <w:uiPriority w:val="99"/>
    <w:qFormat/>
    <w:rsid w:val="002D4A3F"/>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7">
    <w:name w:val="xl107"/>
    <w:basedOn w:val="Normal"/>
    <w:uiPriority w:val="99"/>
    <w:qFormat/>
    <w:rsid w:val="002D4A3F"/>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8">
    <w:name w:val="xl108"/>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9">
    <w:name w:val="xl109"/>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0">
    <w:name w:val="xl110"/>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1">
    <w:name w:val="xl111"/>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2">
    <w:name w:val="xl112"/>
    <w:basedOn w:val="Normal"/>
    <w:uiPriority w:val="99"/>
    <w:qFormat/>
    <w:rsid w:val="002D4A3F"/>
    <w:pPr>
      <w:pBdr>
        <w:top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3">
    <w:name w:val="xl113"/>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4">
    <w:name w:val="xl114"/>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5">
    <w:name w:val="xl115"/>
    <w:basedOn w:val="Normal"/>
    <w:uiPriority w:val="99"/>
    <w:qFormat/>
    <w:rsid w:val="002D4A3F"/>
    <w:pPr>
      <w:pBdr>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16">
    <w:name w:val="xl116"/>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7">
    <w:name w:val="xl117"/>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8">
    <w:name w:val="xl118"/>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9">
    <w:name w:val="xl119"/>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0">
    <w:name w:val="xl120"/>
    <w:basedOn w:val="Normal"/>
    <w:uiPriority w:val="99"/>
    <w:qFormat/>
    <w:rsid w:val="002D4A3F"/>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1">
    <w:name w:val="xl12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2">
    <w:name w:val="xl122"/>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3">
    <w:name w:val="xl123"/>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4">
    <w:name w:val="xl124"/>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5">
    <w:name w:val="xl125"/>
    <w:basedOn w:val="Normal"/>
    <w:uiPriority w:val="99"/>
    <w:qFormat/>
    <w:rsid w:val="002D4A3F"/>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6">
    <w:name w:val="xl126"/>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27">
    <w:name w:val="xl127"/>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8">
    <w:name w:val="xl128"/>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9">
    <w:name w:val="xl129"/>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0">
    <w:name w:val="xl130"/>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1">
    <w:name w:val="xl13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32">
    <w:name w:val="xl132"/>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3">
    <w:name w:val="xl133"/>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4">
    <w:name w:val="xl134"/>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5">
    <w:name w:val="xl135"/>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6">
    <w:name w:val="xl136"/>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7">
    <w:name w:val="xl137"/>
    <w:basedOn w:val="Normal"/>
    <w:uiPriority w:val="99"/>
    <w:qFormat/>
    <w:rsid w:val="002D4A3F"/>
    <w:pPr>
      <w:pBdr>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8">
    <w:name w:val="xl138"/>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9">
    <w:name w:val="xl139"/>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0">
    <w:name w:val="xl140"/>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1">
    <w:name w:val="xl14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42">
    <w:name w:val="xl142"/>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3">
    <w:name w:val="xl143"/>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4">
    <w:name w:val="xl144"/>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5">
    <w:name w:val="xl145"/>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6">
    <w:name w:val="xl146"/>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47">
    <w:name w:val="xl147"/>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8">
    <w:name w:val="xl148"/>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9">
    <w:name w:val="xl14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0">
    <w:name w:val="xl150"/>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1">
    <w:name w:val="xl151"/>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2">
    <w:name w:val="xl152"/>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3">
    <w:name w:val="xl153"/>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4">
    <w:name w:val="xl154"/>
    <w:basedOn w:val="Normal"/>
    <w:uiPriority w:val="99"/>
    <w:qFormat/>
    <w:rsid w:val="002D4A3F"/>
    <w:pPr>
      <w:spacing w:before="100" w:beforeAutospacing="1" w:after="100" w:afterAutospacing="1"/>
      <w:jc w:val="center"/>
      <w:textAlignment w:val="center"/>
    </w:pPr>
    <w:rPr>
      <w:rFonts w:ascii="Calibri" w:hAnsi="Calibri"/>
      <w:noProof w:val="0"/>
      <w:lang w:val="en-US"/>
    </w:rPr>
  </w:style>
  <w:style w:type="paragraph" w:customStyle="1" w:styleId="xl155">
    <w:name w:val="xl155"/>
    <w:basedOn w:val="Normal"/>
    <w:uiPriority w:val="99"/>
    <w:qFormat/>
    <w:rsid w:val="002D4A3F"/>
    <w:pPr>
      <w:spacing w:before="100" w:beforeAutospacing="1" w:after="100" w:afterAutospacing="1"/>
      <w:textAlignment w:val="center"/>
    </w:pPr>
    <w:rPr>
      <w:rFonts w:ascii="Times Armenian" w:hAnsi="Times Armenian"/>
      <w:b/>
      <w:bCs/>
      <w:noProof w:val="0"/>
      <w:sz w:val="18"/>
      <w:szCs w:val="18"/>
      <w:lang w:val="en-US"/>
    </w:rPr>
  </w:style>
  <w:style w:type="paragraph" w:customStyle="1" w:styleId="xl156">
    <w:name w:val="xl156"/>
    <w:basedOn w:val="Normal"/>
    <w:uiPriority w:val="99"/>
    <w:qFormat/>
    <w:rsid w:val="002D4A3F"/>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7">
    <w:name w:val="xl157"/>
    <w:basedOn w:val="Normal"/>
    <w:uiPriority w:val="99"/>
    <w:qFormat/>
    <w:rsid w:val="002D4A3F"/>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8">
    <w:name w:val="xl158"/>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59">
    <w:name w:val="xl15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0">
    <w:name w:val="xl160"/>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1">
    <w:name w:val="xl161"/>
    <w:basedOn w:val="Normal"/>
    <w:uiPriority w:val="99"/>
    <w:qFormat/>
    <w:rsid w:val="002D4A3F"/>
    <w:pPr>
      <w:spacing w:before="100" w:beforeAutospacing="1" w:after="100" w:afterAutospacing="1"/>
      <w:textAlignment w:val="center"/>
    </w:pPr>
    <w:rPr>
      <w:rFonts w:ascii="Times Armenian" w:hAnsi="Times Armenian"/>
      <w:b/>
      <w:bCs/>
      <w:noProof w:val="0"/>
      <w:sz w:val="18"/>
      <w:szCs w:val="18"/>
      <w:u w:val="single"/>
      <w:lang w:val="en-US"/>
    </w:rPr>
  </w:style>
  <w:style w:type="paragraph" w:styleId="Subtitle">
    <w:name w:val="Subtitle"/>
    <w:basedOn w:val="Normal"/>
    <w:link w:val="SubtitleChar1"/>
    <w:uiPriority w:val="11"/>
    <w:qFormat/>
    <w:rsid w:val="002D4A3F"/>
    <w:pPr>
      <w:jc w:val="center"/>
    </w:pPr>
    <w:rPr>
      <w:rFonts w:ascii="Times LatArm" w:hAnsi="Times LatArm"/>
      <w:b/>
      <w:noProof w:val="0"/>
      <w:szCs w:val="20"/>
      <w:lang w:val="en-US"/>
    </w:rPr>
  </w:style>
  <w:style w:type="character" w:customStyle="1" w:styleId="SubtitleChar">
    <w:name w:val="Subtitle Char"/>
    <w:uiPriority w:val="11"/>
    <w:locked/>
    <w:rsid w:val="00FD33BB"/>
    <w:rPr>
      <w:rFonts w:ascii="Times LatArm" w:hAnsi="Times LatArm" w:cs="Times New Roman"/>
      <w:b/>
      <w:sz w:val="24"/>
      <w:lang w:val="en-US" w:eastAsia="en-US"/>
    </w:rPr>
  </w:style>
  <w:style w:type="paragraph" w:customStyle="1" w:styleId="xl24">
    <w:name w:val="xl24"/>
    <w:basedOn w:val="Normal"/>
    <w:uiPriority w:val="99"/>
    <w:qFormat/>
    <w:rsid w:val="002D4A3F"/>
    <w:pP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5">
    <w:name w:val="xl25"/>
    <w:basedOn w:val="Normal"/>
    <w:uiPriority w:val="99"/>
    <w:qFormat/>
    <w:rsid w:val="002D4A3F"/>
    <w:pP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6">
    <w:name w:val="xl26"/>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7">
    <w:name w:val="xl27"/>
    <w:basedOn w:val="Normal"/>
    <w:uiPriority w:val="99"/>
    <w:qFormat/>
    <w:rsid w:val="002D4A3F"/>
    <w:pPr>
      <w:pBdr>
        <w:bottom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8">
    <w:name w:val="xl28"/>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9">
    <w:name w:val="xl29"/>
    <w:basedOn w:val="Normal"/>
    <w:uiPriority w:val="99"/>
    <w:qFormat/>
    <w:rsid w:val="002D4A3F"/>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30">
    <w:name w:val="xl30"/>
    <w:basedOn w:val="Normal"/>
    <w:uiPriority w:val="99"/>
    <w:qFormat/>
    <w:rsid w:val="002D4A3F"/>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sz w:val="22"/>
      <w:szCs w:val="22"/>
      <w:lang w:val="en-US"/>
    </w:rPr>
  </w:style>
  <w:style w:type="paragraph" w:customStyle="1" w:styleId="xl31">
    <w:name w:val="xl31"/>
    <w:basedOn w:val="Normal"/>
    <w:uiPriority w:val="99"/>
    <w:qFormat/>
    <w:rsid w:val="002D4A3F"/>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lang w:val="en-US"/>
    </w:rPr>
  </w:style>
  <w:style w:type="paragraph" w:customStyle="1" w:styleId="xl32">
    <w:name w:val="xl32"/>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3">
    <w:name w:val="xl33"/>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4">
    <w:name w:val="xl34"/>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5">
    <w:name w:val="xl35"/>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6">
    <w:name w:val="xl36"/>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23">
    <w:name w:val="xl23"/>
    <w:basedOn w:val="Normal"/>
    <w:uiPriority w:val="99"/>
    <w:qFormat/>
    <w:rsid w:val="002D4A3F"/>
    <w:pPr>
      <w:spacing w:before="100" w:beforeAutospacing="1" w:after="100" w:afterAutospacing="1"/>
      <w:jc w:val="center"/>
      <w:textAlignment w:val="center"/>
    </w:pPr>
    <w:rPr>
      <w:rFonts w:ascii="Times Armenian" w:hAnsi="Times Armenian"/>
      <w:noProof w:val="0"/>
      <w:lang w:val="en-US"/>
    </w:rPr>
  </w:style>
  <w:style w:type="paragraph" w:customStyle="1" w:styleId="xl37">
    <w:name w:val="xl37"/>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xl38">
    <w:name w:val="xl38"/>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39">
    <w:name w:val="xl39"/>
    <w:basedOn w:val="Normal"/>
    <w:uiPriority w:val="99"/>
    <w:qFormat/>
    <w:rsid w:val="002D4A3F"/>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0">
    <w:name w:val="xl40"/>
    <w:basedOn w:val="Normal"/>
    <w:uiPriority w:val="99"/>
    <w:qFormat/>
    <w:rsid w:val="002D4A3F"/>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1">
    <w:name w:val="xl41"/>
    <w:basedOn w:val="Normal"/>
    <w:uiPriority w:val="99"/>
    <w:qFormat/>
    <w:rsid w:val="002D4A3F"/>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2">
    <w:name w:val="xl42"/>
    <w:basedOn w:val="Normal"/>
    <w:uiPriority w:val="99"/>
    <w:qFormat/>
    <w:rsid w:val="002D4A3F"/>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3">
    <w:name w:val="xl43"/>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4">
    <w:name w:val="xl44"/>
    <w:basedOn w:val="Normal"/>
    <w:uiPriority w:val="99"/>
    <w:qFormat/>
    <w:rsid w:val="002D4A3F"/>
    <w:pPr>
      <w:spacing w:before="100" w:beforeAutospacing="1" w:after="100" w:afterAutospacing="1"/>
      <w:jc w:val="both"/>
    </w:pPr>
    <w:rPr>
      <w:rFonts w:ascii="Times Armenian" w:eastAsia="Arial Unicode MS" w:hAnsi="Times Armenian" w:cs="Arial Unicode MS"/>
      <w:b/>
      <w:bCs/>
      <w:noProof w:val="0"/>
      <w:lang w:val="en-US"/>
    </w:rPr>
  </w:style>
  <w:style w:type="paragraph" w:customStyle="1" w:styleId="xl45">
    <w:name w:val="xl45"/>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noProof w:val="0"/>
      <w:lang w:val="en-US"/>
    </w:rPr>
  </w:style>
  <w:style w:type="paragraph" w:customStyle="1" w:styleId="xl46">
    <w:name w:val="xl46"/>
    <w:basedOn w:val="Normal"/>
    <w:uiPriority w:val="99"/>
    <w:qFormat/>
    <w:rsid w:val="002D4A3F"/>
    <w:pPr>
      <w:spacing w:before="100" w:beforeAutospacing="1" w:after="100" w:afterAutospacing="1"/>
      <w:jc w:val="center"/>
      <w:textAlignment w:val="center"/>
    </w:pPr>
    <w:rPr>
      <w:rFonts w:ascii="Times Armenian" w:eastAsia="Arial Unicode MS" w:hAnsi="Times Armenian" w:cs="Arial Unicode MS"/>
      <w:b/>
      <w:bCs/>
      <w:noProof w:val="0"/>
      <w:sz w:val="22"/>
      <w:szCs w:val="22"/>
      <w:u w:val="single"/>
      <w:lang w:val="en-US"/>
    </w:rPr>
  </w:style>
  <w:style w:type="paragraph" w:customStyle="1" w:styleId="xl47">
    <w:name w:val="xl47"/>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8">
    <w:name w:val="xl48"/>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StyleBodyTextArialAMChar">
    <w:name w:val="Style Body Text + Arial AM Char"/>
    <w:basedOn w:val="BodyText"/>
    <w:uiPriority w:val="99"/>
    <w:qFormat/>
    <w:rsid w:val="002D4A3F"/>
    <w:pPr>
      <w:spacing w:after="240"/>
      <w:jc w:val="both"/>
    </w:pPr>
    <w:rPr>
      <w:rFonts w:ascii="Arial AM" w:hAnsi="Arial AM"/>
      <w:noProof w:val="0"/>
      <w:spacing w:val="-5"/>
      <w:lang w:val="en-GB"/>
    </w:rPr>
  </w:style>
  <w:style w:type="paragraph" w:customStyle="1" w:styleId="CoverSubTitle">
    <w:name w:val="Cover SubTitle"/>
    <w:basedOn w:val="Normal"/>
    <w:uiPriority w:val="99"/>
    <w:qFormat/>
    <w:rsid w:val="002D4A3F"/>
    <w:pPr>
      <w:overflowPunct w:val="0"/>
      <w:autoSpaceDE w:val="0"/>
      <w:autoSpaceDN w:val="0"/>
      <w:adjustRightInd w:val="0"/>
      <w:spacing w:line="440" w:lineRule="exact"/>
      <w:jc w:val="center"/>
      <w:textAlignment w:val="baseline"/>
    </w:pPr>
    <w:rPr>
      <w:noProof w:val="0"/>
      <w:sz w:val="32"/>
      <w:szCs w:val="20"/>
      <w:lang w:val="en-US"/>
    </w:rPr>
  </w:style>
  <w:style w:type="paragraph" w:customStyle="1" w:styleId="CharCharCharChar">
    <w:name w:val="Char Char Char Char"/>
    <w:basedOn w:val="Normal"/>
    <w:next w:val="Normal"/>
    <w:uiPriority w:val="99"/>
    <w:qFormat/>
    <w:rsid w:val="002D4A3F"/>
    <w:pPr>
      <w:spacing w:after="160" w:line="240" w:lineRule="exact"/>
    </w:pPr>
    <w:rPr>
      <w:rFonts w:ascii="Tahoma" w:hAnsi="Tahoma" w:cs="Tahoma"/>
      <w:noProof w:val="0"/>
      <w:lang w:val="en-US"/>
    </w:rPr>
  </w:style>
  <w:style w:type="paragraph" w:customStyle="1" w:styleId="CharCharChar0">
    <w:name w:val="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0">
    <w:name w:val="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a4">
    <w:name w:val="Абзац списка"/>
    <w:basedOn w:val="Normal"/>
    <w:uiPriority w:val="99"/>
    <w:rsid w:val="002D4A3F"/>
    <w:pPr>
      <w:spacing w:after="200" w:line="276" w:lineRule="auto"/>
      <w:ind w:left="720"/>
      <w:contextualSpacing/>
    </w:pPr>
    <w:rPr>
      <w:rFonts w:ascii="Calibri" w:hAnsi="Calibri"/>
      <w:noProof w:val="0"/>
      <w:sz w:val="22"/>
      <w:szCs w:val="22"/>
      <w:lang w:val="ru-RU"/>
    </w:rPr>
  </w:style>
  <w:style w:type="paragraph" w:styleId="NoSpacing">
    <w:name w:val="No Spacing"/>
    <w:link w:val="NoSpacingChar"/>
    <w:uiPriority w:val="1"/>
    <w:qFormat/>
    <w:rsid w:val="002D4A3F"/>
    <w:rPr>
      <w:rFonts w:ascii="Calibri" w:hAnsi="Calibri"/>
      <w:sz w:val="22"/>
      <w:szCs w:val="22"/>
    </w:rPr>
  </w:style>
  <w:style w:type="paragraph" w:styleId="DocumentMap">
    <w:name w:val="Document Map"/>
    <w:basedOn w:val="Normal"/>
    <w:link w:val="DocumentMapChar"/>
    <w:uiPriority w:val="99"/>
    <w:rsid w:val="002D4A3F"/>
    <w:pPr>
      <w:shd w:val="clear" w:color="auto" w:fill="000080"/>
    </w:pPr>
    <w:rPr>
      <w:rFonts w:ascii="Tahoma" w:hAnsi="Tahoma"/>
      <w:noProof w:val="0"/>
      <w:sz w:val="20"/>
      <w:szCs w:val="20"/>
      <w:lang w:val="en-US"/>
    </w:rPr>
  </w:style>
  <w:style w:type="character" w:customStyle="1" w:styleId="DocumentMapChar">
    <w:name w:val="Document Map Char"/>
    <w:link w:val="DocumentMap"/>
    <w:uiPriority w:val="99"/>
    <w:locked/>
    <w:rsid w:val="00797239"/>
    <w:rPr>
      <w:rFonts w:ascii="Tahoma" w:hAnsi="Tahoma" w:cs="Times New Roman"/>
      <w:shd w:val="clear" w:color="auto" w:fill="000080"/>
    </w:rPr>
  </w:style>
  <w:style w:type="character" w:customStyle="1" w:styleId="CharChar6">
    <w:name w:val="Char Char6"/>
    <w:uiPriority w:val="99"/>
    <w:rsid w:val="002D4A3F"/>
    <w:rPr>
      <w:rFonts w:ascii="Times Armenian" w:hAnsi="Times Armenian"/>
      <w:b/>
      <w:i/>
      <w:noProof/>
      <w:sz w:val="26"/>
      <w:u w:val="single"/>
      <w:lang w:val="hy-AM" w:eastAsia="en-US"/>
    </w:rPr>
  </w:style>
  <w:style w:type="character" w:customStyle="1" w:styleId="CharChar5">
    <w:name w:val="Char Char5"/>
    <w:uiPriority w:val="99"/>
    <w:rsid w:val="002D4A3F"/>
    <w:rPr>
      <w:rFonts w:ascii="Times Armenian" w:hAnsi="Times Armenian"/>
      <w:noProof/>
      <w:sz w:val="24"/>
      <w:lang w:val="hy-AM" w:eastAsia="en-US"/>
    </w:rPr>
  </w:style>
  <w:style w:type="character" w:customStyle="1" w:styleId="CharChar4">
    <w:name w:val="Char Char4"/>
    <w:rsid w:val="002D4A3F"/>
    <w:rPr>
      <w:noProof/>
      <w:lang w:val="hy-AM" w:eastAsia="en-US"/>
    </w:rPr>
  </w:style>
  <w:style w:type="paragraph" w:styleId="BodyTextFirstIndent">
    <w:name w:val="Body Text First Indent"/>
    <w:basedOn w:val="BodyText"/>
    <w:link w:val="BodyTextFirstIndentChar"/>
    <w:uiPriority w:val="99"/>
    <w:rsid w:val="002D4A3F"/>
    <w:pPr>
      <w:spacing w:line="360" w:lineRule="auto"/>
      <w:ind w:firstLine="210"/>
      <w:jc w:val="both"/>
    </w:pPr>
    <w:rPr>
      <w:rFonts w:ascii="Calibri" w:hAnsi="Calibri"/>
      <w:noProof w:val="0"/>
      <w:sz w:val="22"/>
      <w:szCs w:val="22"/>
      <w:lang w:val="en-US"/>
    </w:rPr>
  </w:style>
  <w:style w:type="character" w:customStyle="1" w:styleId="BodyTextFirstIndentChar">
    <w:name w:val="Body Text First Indent Char"/>
    <w:link w:val="BodyTextFirstIndent"/>
    <w:uiPriority w:val="99"/>
    <w:locked/>
    <w:rsid w:val="00797239"/>
    <w:rPr>
      <w:rFonts w:ascii="Calibri" w:hAnsi="Calibri" w:cs="Times New Roman"/>
      <w:noProof/>
      <w:sz w:val="22"/>
      <w:lang w:val="hy-AM" w:eastAsia="en-US"/>
    </w:rPr>
  </w:style>
  <w:style w:type="character" w:customStyle="1" w:styleId="apple-style-span">
    <w:name w:val="apple-style-span"/>
    <w:uiPriority w:val="99"/>
    <w:rsid w:val="002D4A3F"/>
    <w:rPr>
      <w:rFonts w:cs="Times New Roman"/>
    </w:rPr>
  </w:style>
  <w:style w:type="paragraph" w:styleId="TOC4">
    <w:name w:val="toc 4"/>
    <w:basedOn w:val="Normal"/>
    <w:next w:val="Normal"/>
    <w:autoRedefine/>
    <w:uiPriority w:val="99"/>
    <w:rsid w:val="002D4A3F"/>
    <w:pPr>
      <w:ind w:left="720"/>
    </w:pPr>
    <w:rPr>
      <w:sz w:val="18"/>
      <w:szCs w:val="18"/>
    </w:rPr>
  </w:style>
  <w:style w:type="paragraph" w:styleId="TOC5">
    <w:name w:val="toc 5"/>
    <w:basedOn w:val="Normal"/>
    <w:next w:val="Normal"/>
    <w:autoRedefine/>
    <w:uiPriority w:val="99"/>
    <w:rsid w:val="002D4A3F"/>
    <w:pPr>
      <w:ind w:left="960"/>
    </w:pPr>
    <w:rPr>
      <w:sz w:val="18"/>
      <w:szCs w:val="18"/>
    </w:rPr>
  </w:style>
  <w:style w:type="paragraph" w:styleId="TOC6">
    <w:name w:val="toc 6"/>
    <w:basedOn w:val="Normal"/>
    <w:next w:val="Normal"/>
    <w:autoRedefine/>
    <w:uiPriority w:val="99"/>
    <w:rsid w:val="002D4A3F"/>
    <w:pPr>
      <w:ind w:left="1200"/>
    </w:pPr>
    <w:rPr>
      <w:sz w:val="18"/>
      <w:szCs w:val="18"/>
    </w:rPr>
  </w:style>
  <w:style w:type="paragraph" w:styleId="TOC7">
    <w:name w:val="toc 7"/>
    <w:basedOn w:val="Normal"/>
    <w:next w:val="Normal"/>
    <w:autoRedefine/>
    <w:uiPriority w:val="99"/>
    <w:rsid w:val="002D4A3F"/>
    <w:pPr>
      <w:ind w:left="1440"/>
    </w:pPr>
    <w:rPr>
      <w:sz w:val="18"/>
      <w:szCs w:val="18"/>
    </w:rPr>
  </w:style>
  <w:style w:type="paragraph" w:styleId="TOC8">
    <w:name w:val="toc 8"/>
    <w:basedOn w:val="Normal"/>
    <w:next w:val="Normal"/>
    <w:autoRedefine/>
    <w:uiPriority w:val="99"/>
    <w:rsid w:val="002D4A3F"/>
    <w:pPr>
      <w:ind w:left="1680"/>
    </w:pPr>
    <w:rPr>
      <w:sz w:val="18"/>
      <w:szCs w:val="18"/>
    </w:rPr>
  </w:style>
  <w:style w:type="paragraph" w:styleId="TOC9">
    <w:name w:val="toc 9"/>
    <w:basedOn w:val="Normal"/>
    <w:next w:val="Normal"/>
    <w:autoRedefine/>
    <w:uiPriority w:val="99"/>
    <w:rsid w:val="002D4A3F"/>
    <w:pPr>
      <w:ind w:left="1920"/>
    </w:pPr>
    <w:rPr>
      <w:sz w:val="18"/>
      <w:szCs w:val="18"/>
    </w:rPr>
  </w:style>
  <w:style w:type="paragraph" w:customStyle="1" w:styleId="book-title">
    <w:name w:val="book-title"/>
    <w:basedOn w:val="Normal"/>
    <w:uiPriority w:val="99"/>
    <w:qFormat/>
    <w:rsid w:val="002D4A3F"/>
    <w:pPr>
      <w:spacing w:before="100" w:beforeAutospacing="1" w:after="100" w:afterAutospacing="1"/>
    </w:pPr>
    <w:rPr>
      <w:noProof w:val="0"/>
      <w:lang w:val="en-US"/>
    </w:rPr>
  </w:style>
  <w:style w:type="character" w:customStyle="1" w:styleId="BalloonTextChar1">
    <w:name w:val="Balloon Text Char1"/>
    <w:link w:val="BalloonText"/>
    <w:uiPriority w:val="99"/>
    <w:locked/>
    <w:rsid w:val="002D4A3F"/>
    <w:rPr>
      <w:rFonts w:ascii="Tahoma" w:hAnsi="Tahoma"/>
      <w:noProof/>
      <w:sz w:val="16"/>
      <w:lang w:val="hy-AM" w:eastAsia="en-US"/>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character" w:customStyle="1" w:styleId="apple-converted-space">
    <w:name w:val="apple-converted-space"/>
    <w:uiPriority w:val="99"/>
    <w:rsid w:val="002D4A3F"/>
  </w:style>
  <w:style w:type="character" w:customStyle="1" w:styleId="a5">
    <w:name w:val="Основной текст_"/>
    <w:link w:val="13"/>
    <w:uiPriority w:val="99"/>
    <w:locked/>
    <w:rsid w:val="002D4A3F"/>
    <w:rPr>
      <w:rFonts w:ascii="Tahoma" w:hAnsi="Tahoma"/>
      <w:sz w:val="19"/>
      <w:shd w:val="clear" w:color="auto" w:fill="FFFFFF"/>
    </w:rPr>
  </w:style>
  <w:style w:type="paragraph" w:customStyle="1" w:styleId="13">
    <w:name w:val="Основной текст1"/>
    <w:basedOn w:val="Normal"/>
    <w:link w:val="a5"/>
    <w:uiPriority w:val="99"/>
    <w:qFormat/>
    <w:rsid w:val="002D4A3F"/>
    <w:pPr>
      <w:shd w:val="clear" w:color="auto" w:fill="FFFFFF"/>
      <w:spacing w:line="240" w:lineRule="atLeast"/>
      <w:ind w:hanging="360"/>
    </w:pPr>
    <w:rPr>
      <w:rFonts w:ascii="Tahoma" w:hAnsi="Tahoma"/>
      <w:noProof w:val="0"/>
      <w:sz w:val="19"/>
      <w:szCs w:val="20"/>
      <w:shd w:val="clear" w:color="auto" w:fill="FFFFFF"/>
      <w:lang w:val="en-US"/>
    </w:rPr>
  </w:style>
  <w:style w:type="character" w:customStyle="1" w:styleId="fnChar2">
    <w:name w:val="fn Char2"/>
    <w:aliases w:val="ADB Char2,single space Char1,footnote text Char Char1,fn Char Char1,ADB Char Char1,single space Char Char Char1,footnote text Char2,FOOTNOTES Char Char2,FOOTNOTES Char Char Char Char1,FOOTNOTES Char Char3,Footnote Text Char1,fn Char3,ADB Char3"/>
    <w:uiPriority w:val="99"/>
    <w:rsid w:val="002D4A3F"/>
    <w:rPr>
      <w:noProof/>
      <w:lang w:val="hy-AM" w:eastAsia="en-US"/>
    </w:rPr>
  </w:style>
  <w:style w:type="paragraph" w:customStyle="1" w:styleId="yiv1819130750msonormal">
    <w:name w:val="yiv1819130750msonormal"/>
    <w:basedOn w:val="Normal"/>
    <w:uiPriority w:val="99"/>
    <w:qFormat/>
    <w:rsid w:val="002D4A3F"/>
    <w:pPr>
      <w:spacing w:before="100" w:beforeAutospacing="1" w:after="100" w:afterAutospacing="1"/>
    </w:pPr>
    <w:rPr>
      <w:noProof w:val="0"/>
      <w:lang w:val="en-US" w:bidi="th-TH"/>
    </w:rPr>
  </w:style>
  <w:style w:type="character" w:customStyle="1" w:styleId="hps">
    <w:name w:val="hps"/>
    <w:uiPriority w:val="99"/>
    <w:rsid w:val="002D4A3F"/>
  </w:style>
  <w:style w:type="paragraph" w:customStyle="1" w:styleId="NoSpacing1">
    <w:name w:val="No Spacing1"/>
    <w:uiPriority w:val="99"/>
    <w:qFormat/>
    <w:rsid w:val="002D4A3F"/>
    <w:rPr>
      <w:sz w:val="24"/>
      <w:szCs w:val="24"/>
      <w:lang w:eastAsia="en-GB"/>
    </w:rPr>
  </w:style>
  <w:style w:type="character" w:customStyle="1" w:styleId="NoSpacingChar">
    <w:name w:val="No Spacing Char"/>
    <w:link w:val="NoSpacing"/>
    <w:uiPriority w:val="99"/>
    <w:locked/>
    <w:rsid w:val="002D4A3F"/>
    <w:rPr>
      <w:rFonts w:ascii="Calibri" w:hAnsi="Calibri"/>
      <w:sz w:val="22"/>
    </w:rPr>
  </w:style>
  <w:style w:type="paragraph" w:styleId="Index1">
    <w:name w:val="index 1"/>
    <w:basedOn w:val="Normal"/>
    <w:next w:val="Normal"/>
    <w:autoRedefine/>
    <w:uiPriority w:val="99"/>
    <w:rsid w:val="002D4A3F"/>
    <w:pPr>
      <w:ind w:left="240" w:hanging="240"/>
    </w:pPr>
    <w:rPr>
      <w:sz w:val="20"/>
      <w:szCs w:val="20"/>
    </w:rPr>
  </w:style>
  <w:style w:type="paragraph" w:styleId="Index2">
    <w:name w:val="index 2"/>
    <w:basedOn w:val="Normal"/>
    <w:next w:val="Normal"/>
    <w:autoRedefine/>
    <w:uiPriority w:val="99"/>
    <w:rsid w:val="002D4A3F"/>
    <w:pPr>
      <w:ind w:left="480" w:hanging="240"/>
    </w:pPr>
    <w:rPr>
      <w:sz w:val="20"/>
      <w:szCs w:val="20"/>
    </w:rPr>
  </w:style>
  <w:style w:type="paragraph" w:styleId="Index3">
    <w:name w:val="index 3"/>
    <w:basedOn w:val="Normal"/>
    <w:next w:val="Normal"/>
    <w:autoRedefine/>
    <w:uiPriority w:val="99"/>
    <w:rsid w:val="002D4A3F"/>
    <w:pPr>
      <w:ind w:left="720" w:hanging="240"/>
    </w:pPr>
    <w:rPr>
      <w:sz w:val="20"/>
      <w:szCs w:val="20"/>
    </w:rPr>
  </w:style>
  <w:style w:type="paragraph" w:styleId="Index4">
    <w:name w:val="index 4"/>
    <w:basedOn w:val="Normal"/>
    <w:next w:val="Normal"/>
    <w:autoRedefine/>
    <w:uiPriority w:val="99"/>
    <w:rsid w:val="002D4A3F"/>
    <w:pPr>
      <w:ind w:left="960" w:hanging="240"/>
    </w:pPr>
    <w:rPr>
      <w:sz w:val="20"/>
      <w:szCs w:val="20"/>
    </w:rPr>
  </w:style>
  <w:style w:type="paragraph" w:styleId="Index5">
    <w:name w:val="index 5"/>
    <w:basedOn w:val="Normal"/>
    <w:next w:val="Normal"/>
    <w:autoRedefine/>
    <w:uiPriority w:val="99"/>
    <w:rsid w:val="002D4A3F"/>
    <w:pPr>
      <w:ind w:left="1200" w:hanging="240"/>
    </w:pPr>
    <w:rPr>
      <w:sz w:val="20"/>
      <w:szCs w:val="20"/>
    </w:rPr>
  </w:style>
  <w:style w:type="paragraph" w:styleId="Index6">
    <w:name w:val="index 6"/>
    <w:basedOn w:val="Normal"/>
    <w:next w:val="Normal"/>
    <w:autoRedefine/>
    <w:uiPriority w:val="99"/>
    <w:rsid w:val="002D4A3F"/>
    <w:pPr>
      <w:ind w:left="1440" w:hanging="240"/>
    </w:pPr>
    <w:rPr>
      <w:sz w:val="20"/>
      <w:szCs w:val="20"/>
    </w:rPr>
  </w:style>
  <w:style w:type="paragraph" w:styleId="Index7">
    <w:name w:val="index 7"/>
    <w:basedOn w:val="Normal"/>
    <w:next w:val="Normal"/>
    <w:autoRedefine/>
    <w:uiPriority w:val="99"/>
    <w:rsid w:val="002D4A3F"/>
    <w:pPr>
      <w:ind w:left="1680" w:hanging="240"/>
    </w:pPr>
    <w:rPr>
      <w:sz w:val="20"/>
      <w:szCs w:val="20"/>
    </w:rPr>
  </w:style>
  <w:style w:type="paragraph" w:styleId="Index8">
    <w:name w:val="index 8"/>
    <w:basedOn w:val="Normal"/>
    <w:next w:val="Normal"/>
    <w:autoRedefine/>
    <w:uiPriority w:val="99"/>
    <w:rsid w:val="002D4A3F"/>
    <w:pPr>
      <w:ind w:left="1920" w:hanging="240"/>
    </w:pPr>
    <w:rPr>
      <w:sz w:val="20"/>
      <w:szCs w:val="20"/>
    </w:rPr>
  </w:style>
  <w:style w:type="paragraph" w:styleId="Index9">
    <w:name w:val="index 9"/>
    <w:basedOn w:val="Normal"/>
    <w:next w:val="Normal"/>
    <w:autoRedefine/>
    <w:uiPriority w:val="99"/>
    <w:rsid w:val="002D4A3F"/>
    <w:pPr>
      <w:ind w:left="2160" w:hanging="240"/>
    </w:pPr>
    <w:rPr>
      <w:sz w:val="20"/>
      <w:szCs w:val="20"/>
    </w:rPr>
  </w:style>
  <w:style w:type="paragraph" w:styleId="IndexHeading">
    <w:name w:val="index heading"/>
    <w:basedOn w:val="Normal"/>
    <w:next w:val="Index1"/>
    <w:uiPriority w:val="99"/>
    <w:rsid w:val="002D4A3F"/>
    <w:pPr>
      <w:spacing w:before="120" w:after="120"/>
    </w:pPr>
    <w:rPr>
      <w:b/>
      <w:bCs/>
      <w:i/>
      <w:iCs/>
      <w:sz w:val="20"/>
      <w:szCs w:val="20"/>
    </w:rPr>
  </w:style>
  <w:style w:type="character" w:customStyle="1" w:styleId="Heading1Char1">
    <w:name w:val="Heading 1 Char1"/>
    <w:link w:val="Heading1"/>
    <w:uiPriority w:val="9"/>
    <w:locked/>
    <w:rsid w:val="002D4A3F"/>
    <w:rPr>
      <w:rFonts w:ascii="Times Armenian" w:hAnsi="Times Armenian"/>
      <w:b/>
      <w:i/>
      <w:noProof/>
      <w:sz w:val="28"/>
      <w:lang w:val="hy-AM" w:eastAsia="en-US"/>
    </w:rPr>
  </w:style>
  <w:style w:type="paragraph" w:styleId="IntenseQuote">
    <w:name w:val="Intense Quote"/>
    <w:basedOn w:val="Normal"/>
    <w:next w:val="Normal"/>
    <w:link w:val="IntenseQuoteChar"/>
    <w:uiPriority w:val="99"/>
    <w:qFormat/>
    <w:rsid w:val="002D4A3F"/>
    <w:pPr>
      <w:pBdr>
        <w:bottom w:val="single" w:sz="12" w:space="4" w:color="244061"/>
      </w:pBdr>
      <w:spacing w:before="200" w:after="280" w:line="276" w:lineRule="auto"/>
      <w:ind w:left="936" w:right="936"/>
    </w:pPr>
    <w:rPr>
      <w:rFonts w:ascii="Calibri" w:hAnsi="Calibri"/>
      <w:b/>
      <w:bCs/>
      <w:i/>
      <w:iCs/>
      <w:noProof w:val="0"/>
      <w:color w:val="244061"/>
      <w:sz w:val="22"/>
      <w:szCs w:val="22"/>
      <w:lang w:val="en-US"/>
    </w:rPr>
  </w:style>
  <w:style w:type="character" w:customStyle="1" w:styleId="IntenseQuoteChar">
    <w:name w:val="Intense Quote Char"/>
    <w:link w:val="IntenseQuote"/>
    <w:uiPriority w:val="99"/>
    <w:locked/>
    <w:rsid w:val="002D4A3F"/>
    <w:rPr>
      <w:rFonts w:ascii="Calibri" w:hAnsi="Calibri" w:cs="Times New Roman"/>
      <w:b/>
      <w:i/>
      <w:color w:val="244061"/>
      <w:sz w:val="22"/>
      <w:lang w:val="en-US" w:eastAsia="en-US"/>
    </w:rPr>
  </w:style>
  <w:style w:type="character" w:customStyle="1" w:styleId="st">
    <w:name w:val="st"/>
    <w:uiPriority w:val="99"/>
    <w:rsid w:val="002D4A3F"/>
  </w:style>
  <w:style w:type="table" w:customStyle="1" w:styleId="MediumShading1-Accent11">
    <w:name w:val="Medium Shading 1 - Accent 11"/>
    <w:uiPriority w:val="99"/>
    <w:rsid w:val="002D4A3F"/>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2D4A3F"/>
    <w:rPr>
      <w:rFonts w:ascii="Courier New" w:hAnsi="Courier New"/>
      <w:lang w:val="en-US" w:eastAsia="en-US"/>
    </w:rPr>
  </w:style>
  <w:style w:type="paragraph" w:customStyle="1" w:styleId="yiv5976168221msonormal">
    <w:name w:val="yiv5976168221msonormal"/>
    <w:basedOn w:val="Normal"/>
    <w:uiPriority w:val="99"/>
    <w:qFormat/>
    <w:rsid w:val="002D4A3F"/>
    <w:pPr>
      <w:spacing w:before="100" w:beforeAutospacing="1" w:after="100" w:afterAutospacing="1"/>
    </w:pPr>
    <w:rPr>
      <w:noProof w:val="0"/>
      <w:lang w:val="en-US"/>
    </w:rPr>
  </w:style>
  <w:style w:type="character" w:customStyle="1" w:styleId="HeaderChar1">
    <w:name w:val="Header Char1"/>
    <w:aliases w:val="Header Char Char Char Char Char Char Char Char Char Char Char2,Header Char Char Char Char Char Char Char Char Char Char Char Char Char2,h Char2,Header Char Char Char Char Char1,Header Char Char Char Char2,Header Char Char Char2"/>
    <w:link w:val="Header"/>
    <w:uiPriority w:val="99"/>
    <w:locked/>
    <w:rsid w:val="002D4A3F"/>
    <w:rPr>
      <w:noProof/>
      <w:sz w:val="24"/>
      <w:lang w:val="hy-AM" w:eastAsia="en-US"/>
    </w:rPr>
  </w:style>
  <w:style w:type="character" w:customStyle="1" w:styleId="BodyTextChar1">
    <w:name w:val="Body Text Char1"/>
    <w:uiPriority w:val="99"/>
    <w:locked/>
    <w:rsid w:val="002D4A3F"/>
    <w:rPr>
      <w:rFonts w:ascii="Arial Armenian" w:hAnsi="Arial Armenian"/>
      <w:sz w:val="20"/>
    </w:rPr>
  </w:style>
  <w:style w:type="paragraph" w:customStyle="1" w:styleId="21">
    <w:name w:val="???????? ????? ? ???????? 2"/>
    <w:basedOn w:val="a1"/>
    <w:uiPriority w:val="99"/>
    <w:qFormat/>
    <w:rsid w:val="002D4A3F"/>
    <w:pPr>
      <w:ind w:right="-141" w:firstLine="567"/>
      <w:jc w:val="both"/>
    </w:pPr>
    <w:rPr>
      <w:rFonts w:ascii="Times Armenian" w:hAnsi="Times Armenian"/>
      <w:lang w:val="ru-RU"/>
    </w:rPr>
  </w:style>
  <w:style w:type="paragraph" w:customStyle="1" w:styleId="BankNormal">
    <w:name w:val="BankNormal"/>
    <w:basedOn w:val="Normal"/>
    <w:uiPriority w:val="99"/>
    <w:qFormat/>
    <w:rsid w:val="002D4A3F"/>
    <w:pPr>
      <w:spacing w:after="240"/>
    </w:pPr>
    <w:rPr>
      <w:noProof w:val="0"/>
      <w:szCs w:val="20"/>
      <w:lang w:val="en-US"/>
    </w:rPr>
  </w:style>
  <w:style w:type="paragraph" w:customStyle="1" w:styleId="Einrckung1">
    <w:name w:val="Einrückung 1"/>
    <w:basedOn w:val="Normal"/>
    <w:uiPriority w:val="99"/>
    <w:qFormat/>
    <w:rsid w:val="002D4A3F"/>
    <w:pPr>
      <w:spacing w:line="360" w:lineRule="atLeast"/>
      <w:ind w:left="851" w:hanging="851"/>
    </w:pPr>
    <w:rPr>
      <w:rFonts w:ascii="Arial" w:eastAsia="SimSun" w:hAnsi="Arial"/>
      <w:noProof w:val="0"/>
      <w:szCs w:val="20"/>
      <w:lang w:val="de-DE" w:eastAsia="de-DE"/>
    </w:rPr>
  </w:style>
  <w:style w:type="character" w:customStyle="1" w:styleId="CharChar18">
    <w:name w:val="Char Char18"/>
    <w:uiPriority w:val="99"/>
    <w:rsid w:val="002D4A3F"/>
    <w:rPr>
      <w:rFonts w:ascii="Times Armenian" w:hAnsi="Times Armenian"/>
      <w:b/>
      <w:i/>
      <w:noProof/>
      <w:sz w:val="20"/>
      <w:lang w:val="hy-AM"/>
    </w:rPr>
  </w:style>
  <w:style w:type="character" w:customStyle="1" w:styleId="Heading4Char2">
    <w:name w:val="Heading 4 Char2"/>
    <w:aliases w:val="Абзац списка2 Char1,List Paragraph5 Char1,PDP DOCUMENT SUBTITLE Char,Table no. List Paragraph Char,Абзац списка3 Char,Bullet Points Char,List Paragraph111 Char,Bullet paras Char,OBC Bullet Char,Normal numbered Char,Titulo 2 Char"/>
    <w:link w:val="Heading4"/>
    <w:uiPriority w:val="9"/>
    <w:locked/>
    <w:rsid w:val="0084243F"/>
    <w:rPr>
      <w:rFonts w:ascii="GHEA Grapalat" w:hAnsi="GHEA Grapalat"/>
      <w:b/>
      <w:i/>
      <w:sz w:val="22"/>
      <w:lang w:val="de-AT"/>
    </w:rPr>
  </w:style>
  <w:style w:type="character" w:customStyle="1" w:styleId="Heading5Char2">
    <w:name w:val="Heading 5 Char2"/>
    <w:aliases w:val="Side Char1"/>
    <w:link w:val="Heading5"/>
    <w:uiPriority w:val="99"/>
    <w:locked/>
    <w:rsid w:val="002D4A3F"/>
    <w:rPr>
      <w:rFonts w:ascii="Times Armenian" w:hAnsi="Times Armenian"/>
      <w:b/>
      <w:sz w:val="24"/>
      <w:lang w:val="en-US" w:eastAsia="en-US"/>
    </w:rPr>
  </w:style>
  <w:style w:type="character" w:customStyle="1" w:styleId="Heading2Char1">
    <w:name w:val="Heading 2 Char1"/>
    <w:aliases w:val="Paranum Char1"/>
    <w:semiHidden/>
    <w:rsid w:val="002D4A3F"/>
    <w:rPr>
      <w:rFonts w:ascii="Cambria" w:hAnsi="Cambria"/>
      <w:b/>
      <w:noProof/>
      <w:color w:val="4F81BD"/>
      <w:sz w:val="26"/>
      <w:lang w:val="hy-AM"/>
    </w:rPr>
  </w:style>
  <w:style w:type="character" w:customStyle="1" w:styleId="Heading4Char1">
    <w:name w:val="Heading 4 Char1"/>
    <w:aliases w:val="Centred Char,Centred Char2,Normal numbered Char1,Titulo 2 Char1,heading 4 Char"/>
    <w:uiPriority w:val="99"/>
    <w:rsid w:val="002D4A3F"/>
    <w:rPr>
      <w:rFonts w:ascii="Cambria" w:hAnsi="Cambria"/>
      <w:b/>
      <w:i/>
      <w:noProof/>
      <w:color w:val="4F81BD"/>
      <w:sz w:val="24"/>
      <w:lang w:val="hy-AM"/>
    </w:rPr>
  </w:style>
  <w:style w:type="character" w:customStyle="1" w:styleId="Heading5Char1">
    <w:name w:val="Heading 5 Char1"/>
    <w:aliases w:val="Side Char2,Side Char21"/>
    <w:uiPriority w:val="99"/>
    <w:semiHidden/>
    <w:rsid w:val="002D4A3F"/>
    <w:rPr>
      <w:rFonts w:ascii="Cambria" w:hAnsi="Cambria"/>
      <w:noProof/>
      <w:color w:val="243F60"/>
      <w:sz w:val="24"/>
      <w:lang w:val="hy-AM"/>
    </w:rPr>
  </w:style>
  <w:style w:type="character" w:customStyle="1" w:styleId="CharChar13">
    <w:name w:val="Char Char13"/>
    <w:uiPriority w:val="99"/>
    <w:semiHidden/>
    <w:rsid w:val="002D4A3F"/>
    <w:rPr>
      <w:rFonts w:ascii="Times New Roman" w:hAnsi="Times New Roman"/>
      <w:noProof/>
      <w:sz w:val="20"/>
      <w:lang w:val="hy-AM"/>
    </w:rPr>
  </w:style>
  <w:style w:type="character" w:customStyle="1" w:styleId="TitleChar1">
    <w:name w:val="Title Char1"/>
    <w:link w:val="Title"/>
    <w:uiPriority w:val="99"/>
    <w:locked/>
    <w:rsid w:val="002D4A3F"/>
    <w:rPr>
      <w:rFonts w:ascii="Arial Armenian" w:hAnsi="Arial Armenian"/>
      <w:b/>
      <w:noProof/>
      <w:sz w:val="28"/>
      <w:lang w:val="hy-AM" w:eastAsia="en-US"/>
    </w:rPr>
  </w:style>
  <w:style w:type="character" w:customStyle="1" w:styleId="BodyTextIndentChar1">
    <w:name w:val="Body Text Indent Char1"/>
    <w:aliases w:val="(Table Source) Char1,(Table Source) Char Char2,Body Text Indent Char2 Char1,(Table Source) Char2 Char1,(Table Source) Char Char1 Char1,(Table Source) Char Char21,Body Text Indent Char2 Char11,(Table Source) Char2 Char11"/>
    <w:rsid w:val="002D4A3F"/>
    <w:rPr>
      <w:rFonts w:ascii="Times New Roman" w:hAnsi="Times New Roman"/>
      <w:noProof/>
      <w:sz w:val="24"/>
      <w:lang w:val="hy-AM"/>
    </w:rPr>
  </w:style>
  <w:style w:type="paragraph" w:customStyle="1" w:styleId="CharCharCharCharChar4">
    <w:name w:val="Char Char Char Char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4">
    <w:name w:val="Zchn Zchn14"/>
    <w:basedOn w:val="Normal"/>
    <w:uiPriority w:val="99"/>
    <w:qFormat/>
    <w:rsid w:val="002D4A3F"/>
    <w:pPr>
      <w:spacing w:after="160" w:line="240" w:lineRule="exact"/>
    </w:pPr>
    <w:rPr>
      <w:rFonts w:ascii="Verdana" w:hAnsi="Verdana"/>
      <w:noProof w:val="0"/>
      <w:sz w:val="20"/>
      <w:szCs w:val="20"/>
      <w:lang w:val="en-GB"/>
    </w:rPr>
  </w:style>
  <w:style w:type="paragraph" w:customStyle="1" w:styleId="Char14">
    <w:name w:val="Char1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3CharCharChar4">
    <w:name w:val="Char3 Char Char Char4"/>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CharChar1CharCharChar1Char4">
    <w:name w:val="Char Char1 Char Char Char1 Char4"/>
    <w:basedOn w:val="Normal"/>
    <w:autoRedefine/>
    <w:uiPriority w:val="99"/>
    <w:qFormat/>
    <w:rsid w:val="002D4A3F"/>
    <w:rPr>
      <w:rFonts w:eastAsia="SimSun"/>
      <w:noProof w:val="0"/>
      <w:sz w:val="20"/>
      <w:szCs w:val="20"/>
      <w:lang w:val="en-US" w:eastAsia="ru-RU"/>
    </w:rPr>
  </w:style>
  <w:style w:type="paragraph" w:customStyle="1" w:styleId="CharCharChar4">
    <w:name w:val="Char Char Char Знак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4">
    <w:name w:val="Char Char Char1 Char Char Char Char Char Char Char Char Char1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14">
    <w:name w:val="Знак Знак14"/>
    <w:basedOn w:val="Normal"/>
    <w:uiPriority w:val="99"/>
    <w:qFormat/>
    <w:rsid w:val="002D4A3F"/>
    <w:pPr>
      <w:spacing w:after="160" w:line="240" w:lineRule="exact"/>
    </w:pPr>
    <w:rPr>
      <w:rFonts w:ascii="Arial" w:hAnsi="Arial" w:cs="Arial"/>
      <w:noProof w:val="0"/>
      <w:sz w:val="20"/>
      <w:szCs w:val="20"/>
      <w:lang w:val="en-US"/>
    </w:rPr>
  </w:style>
  <w:style w:type="paragraph" w:customStyle="1" w:styleId="BodyText13">
    <w:name w:val="Body Text13"/>
    <w:basedOn w:val="Default"/>
    <w:next w:val="Default"/>
    <w:uiPriority w:val="99"/>
    <w:qFormat/>
    <w:rsid w:val="002D4A3F"/>
    <w:rPr>
      <w:rFonts w:ascii="Sylfaen" w:hAnsi="Sylfaen"/>
      <w:color w:val="auto"/>
    </w:rPr>
  </w:style>
  <w:style w:type="paragraph" w:customStyle="1" w:styleId="24">
    <w:name w:val="Знак Знак2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40">
    <w:name w:val="Char Char Char Знак Знак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40">
    <w:name w:val="Char Char Char Char Char Знак Знак4"/>
    <w:basedOn w:val="Normal"/>
    <w:uiPriority w:val="99"/>
    <w:qFormat/>
    <w:rsid w:val="002D4A3F"/>
    <w:pPr>
      <w:spacing w:after="160" w:line="240" w:lineRule="exact"/>
    </w:pPr>
    <w:rPr>
      <w:rFonts w:ascii="Arial" w:hAnsi="Arial" w:cs="Arial"/>
      <w:noProof w:val="0"/>
      <w:sz w:val="20"/>
      <w:szCs w:val="20"/>
      <w:lang w:val="en-US"/>
    </w:rPr>
  </w:style>
  <w:style w:type="character" w:customStyle="1" w:styleId="CharChar12">
    <w:name w:val="Char Char12"/>
    <w:uiPriority w:val="99"/>
    <w:semiHidden/>
    <w:locked/>
    <w:rsid w:val="002D4A3F"/>
    <w:rPr>
      <w:rFonts w:ascii="Times New Roman" w:hAnsi="Times New Roman"/>
      <w:noProof/>
      <w:sz w:val="24"/>
      <w:lang w:val="hy-AM"/>
    </w:rPr>
  </w:style>
  <w:style w:type="character" w:customStyle="1" w:styleId="Char2">
    <w:name w:val="Char2"/>
    <w:uiPriority w:val="99"/>
    <w:rsid w:val="002D4A3F"/>
    <w:rPr>
      <w:rFonts w:ascii="Times Armenian" w:hAnsi="Times Armenian"/>
      <w:sz w:val="22"/>
      <w:lang w:val="en-GB" w:eastAsia="en-US"/>
    </w:rPr>
  </w:style>
  <w:style w:type="character" w:customStyle="1" w:styleId="CharChar64">
    <w:name w:val="Char Char64"/>
    <w:uiPriority w:val="99"/>
    <w:rsid w:val="002D4A3F"/>
    <w:rPr>
      <w:rFonts w:ascii="Times Armenian" w:hAnsi="Times Armenian"/>
      <w:b/>
      <w:i/>
      <w:noProof/>
      <w:sz w:val="26"/>
      <w:u w:val="single"/>
      <w:lang w:val="hy-AM" w:eastAsia="en-US"/>
    </w:rPr>
  </w:style>
  <w:style w:type="character" w:customStyle="1" w:styleId="CharChar54">
    <w:name w:val="Char Char54"/>
    <w:uiPriority w:val="99"/>
    <w:rsid w:val="002D4A3F"/>
    <w:rPr>
      <w:rFonts w:ascii="Times Armenian" w:hAnsi="Times Armenian"/>
      <w:noProof/>
      <w:sz w:val="24"/>
      <w:lang w:val="hy-AM" w:eastAsia="en-US"/>
    </w:rPr>
  </w:style>
  <w:style w:type="character" w:customStyle="1" w:styleId="CharChar44">
    <w:name w:val="Char Char44"/>
    <w:uiPriority w:val="99"/>
    <w:rsid w:val="002D4A3F"/>
    <w:rPr>
      <w:noProof/>
      <w:lang w:val="hy-AM" w:eastAsia="en-US"/>
    </w:rPr>
  </w:style>
  <w:style w:type="character" w:customStyle="1" w:styleId="DefaultChar">
    <w:name w:val="Default Char"/>
    <w:link w:val="Default"/>
    <w:uiPriority w:val="99"/>
    <w:locked/>
    <w:rsid w:val="002D4A3F"/>
    <w:rPr>
      <w:rFonts w:ascii="Warnock Pro" w:hAnsi="Warnock Pro"/>
      <w:color w:val="000000"/>
      <w:sz w:val="22"/>
      <w:lang w:val="en-US" w:eastAsia="en-US"/>
    </w:rPr>
  </w:style>
  <w:style w:type="character" w:customStyle="1" w:styleId="ListParagraphChar">
    <w:name w:val="List Paragraph Char"/>
    <w:aliases w:val="Bullets Char,List Paragraph nowy Char,List Paragraph (numbered (a)) Char,Liste 1 Char,Akapit z listą BS Char,List Paragraph 1 Char,List_Paragraph Char,Multilevel para_II Char,List Paragraph1 Char,References Char,IBL List Paragraph C"/>
    <w:link w:val="ListParagraph2"/>
    <w:uiPriority w:val="34"/>
    <w:qFormat/>
    <w:locked/>
    <w:rsid w:val="002D4A3F"/>
    <w:rPr>
      <w:rFonts w:ascii="Calibri" w:hAnsi="Calibri"/>
      <w:sz w:val="22"/>
      <w:lang w:val="ru-RU" w:eastAsia="en-US"/>
    </w:rPr>
  </w:style>
  <w:style w:type="character" w:customStyle="1" w:styleId="HeaderChar2">
    <w:name w:val="Header Char2"/>
    <w:aliases w:val="Header Char Char Char Char Char2,Header Char Char Char Char11,Header Char Char Char11,Header Char Char Char Char Char Char Char Char Char Char Char1,Header Char Char Char Char Char Char Char Char Char Char Char Char Char1,h Char1"/>
    <w:uiPriority w:val="99"/>
    <w:locked/>
    <w:rsid w:val="002D4A3F"/>
    <w:rPr>
      <w:noProof/>
      <w:sz w:val="24"/>
      <w:lang w:val="hy-AM" w:eastAsia="en-US"/>
    </w:rPr>
  </w:style>
  <w:style w:type="character" w:customStyle="1" w:styleId="SubtitleChar1">
    <w:name w:val="Subtitle Char1"/>
    <w:link w:val="Subtitle"/>
    <w:uiPriority w:val="99"/>
    <w:locked/>
    <w:rsid w:val="002D4A3F"/>
    <w:rPr>
      <w:rFonts w:ascii="Times LatArm" w:hAnsi="Times LatArm"/>
      <w:b/>
      <w:sz w:val="24"/>
      <w:lang w:val="en-US" w:eastAsia="en-US"/>
    </w:rPr>
  </w:style>
  <w:style w:type="character" w:styleId="EndnoteReference">
    <w:name w:val="endnote reference"/>
    <w:rsid w:val="002D4A3F"/>
    <w:rPr>
      <w:rFonts w:cs="Times New Roman"/>
      <w:vertAlign w:val="superscript"/>
    </w:rPr>
  </w:style>
  <w:style w:type="paragraph" w:styleId="Revision">
    <w:name w:val="Revision"/>
    <w:hidden/>
    <w:uiPriority w:val="99"/>
    <w:semiHidden/>
    <w:rsid w:val="002D4A3F"/>
    <w:rPr>
      <w:noProof/>
      <w:sz w:val="24"/>
      <w:szCs w:val="24"/>
      <w:lang w:val="hy-AM"/>
    </w:rPr>
  </w:style>
  <w:style w:type="paragraph" w:customStyle="1" w:styleId="CharCharCharChar4">
    <w:name w:val="Char Char Char Char4"/>
    <w:basedOn w:val="Normal"/>
    <w:uiPriority w:val="99"/>
    <w:qFormat/>
    <w:rsid w:val="00461412"/>
    <w:pPr>
      <w:spacing w:after="160" w:line="240" w:lineRule="exact"/>
    </w:pPr>
    <w:rPr>
      <w:rFonts w:ascii="Arial" w:hAnsi="Arial" w:cs="Arial"/>
      <w:noProof w:val="0"/>
      <w:sz w:val="20"/>
      <w:szCs w:val="20"/>
      <w:lang w:val="en-US"/>
    </w:rPr>
  </w:style>
  <w:style w:type="paragraph" w:customStyle="1" w:styleId="HD1">
    <w:name w:val="HD1"/>
    <w:basedOn w:val="Normal"/>
    <w:uiPriority w:val="99"/>
    <w:qFormat/>
    <w:rsid w:val="006639D7"/>
    <w:rPr>
      <w:rFonts w:ascii="Trebuchet MS" w:eastAsia="MS Mincho" w:hAnsi="Trebuchet MS"/>
      <w:b/>
      <w:noProof w:val="0"/>
      <w:color w:val="003776"/>
      <w:lang w:val="en-US"/>
    </w:rPr>
  </w:style>
  <w:style w:type="paragraph" w:customStyle="1" w:styleId="rmcvptur">
    <w:name w:val="rmcvptur"/>
    <w:basedOn w:val="Normal"/>
    <w:uiPriority w:val="99"/>
    <w:qFormat/>
    <w:rsid w:val="006639D7"/>
    <w:pPr>
      <w:spacing w:before="100" w:beforeAutospacing="1" w:after="100" w:afterAutospacing="1"/>
    </w:pPr>
    <w:rPr>
      <w:rFonts w:eastAsia="MS Mincho"/>
      <w:noProof w:val="0"/>
      <w:lang w:val="en-US"/>
    </w:rPr>
  </w:style>
  <w:style w:type="paragraph" w:customStyle="1" w:styleId="rmctulpr">
    <w:name w:val="rmctulpr"/>
    <w:basedOn w:val="Normal"/>
    <w:uiPriority w:val="99"/>
    <w:qFormat/>
    <w:rsid w:val="006639D7"/>
    <w:pPr>
      <w:spacing w:before="100" w:beforeAutospacing="1" w:after="100" w:afterAutospacing="1"/>
    </w:pPr>
    <w:rPr>
      <w:rFonts w:eastAsia="MS Mincho"/>
      <w:noProof w:val="0"/>
      <w:lang w:val="en-US"/>
    </w:rPr>
  </w:style>
  <w:style w:type="character" w:customStyle="1" w:styleId="CharChar23">
    <w:name w:val="Char Char23"/>
    <w:uiPriority w:val="99"/>
    <w:rsid w:val="00856625"/>
    <w:rPr>
      <w:rFonts w:ascii="Times Armenian" w:hAnsi="Times Armenian"/>
      <w:noProof/>
      <w:sz w:val="24"/>
      <w:u w:val="single"/>
      <w:lang w:val="hy-AM"/>
    </w:rPr>
  </w:style>
  <w:style w:type="character" w:customStyle="1" w:styleId="CharChar24">
    <w:name w:val="Char Char24"/>
    <w:uiPriority w:val="99"/>
    <w:locked/>
    <w:rsid w:val="00856625"/>
    <w:rPr>
      <w:rFonts w:ascii="Times Armenian" w:hAnsi="Times Armenian"/>
      <w:b/>
      <w:i/>
      <w:noProof/>
      <w:sz w:val="20"/>
      <w:lang w:val="hy-AM"/>
    </w:rPr>
  </w:style>
  <w:style w:type="paragraph" w:customStyle="1" w:styleId="CharChar2">
    <w:name w:val="Char Char2 Знак Знак"/>
    <w:basedOn w:val="Normal"/>
    <w:uiPriority w:val="99"/>
    <w:qFormat/>
    <w:rsid w:val="004075DC"/>
    <w:pPr>
      <w:tabs>
        <w:tab w:val="left" w:pos="709"/>
      </w:tabs>
    </w:pPr>
    <w:rPr>
      <w:rFonts w:ascii="Tahoma" w:hAnsi="Tahoma"/>
      <w:noProof w:val="0"/>
      <w:lang w:val="pl-PL" w:eastAsia="pl-PL"/>
    </w:rPr>
  </w:style>
  <w:style w:type="paragraph" w:customStyle="1" w:styleId="ColorfulList-Accent11">
    <w:name w:val="Colorful List - Accent 11"/>
    <w:basedOn w:val="Normal"/>
    <w:uiPriority w:val="99"/>
    <w:qFormat/>
    <w:rsid w:val="00A339F2"/>
    <w:pPr>
      <w:spacing w:after="200" w:line="276" w:lineRule="auto"/>
      <w:ind w:left="720"/>
      <w:contextualSpacing/>
    </w:pPr>
    <w:rPr>
      <w:rFonts w:ascii="Calibri" w:hAnsi="Calibri"/>
      <w:noProof w:val="0"/>
      <w:sz w:val="22"/>
      <w:szCs w:val="22"/>
      <w:lang w:val="ru-RU"/>
    </w:rPr>
  </w:style>
  <w:style w:type="paragraph" w:styleId="HTMLPreformatted">
    <w:name w:val="HTML Preformatted"/>
    <w:basedOn w:val="Normal"/>
    <w:link w:val="HTMLPreformattedChar"/>
    <w:uiPriority w:val="99"/>
    <w:rsid w:val="0065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noProof w:val="0"/>
      <w:sz w:val="20"/>
      <w:szCs w:val="20"/>
      <w:lang w:val="en-US"/>
    </w:rPr>
  </w:style>
  <w:style w:type="character" w:customStyle="1" w:styleId="HTMLPreformattedChar">
    <w:name w:val="HTML Preformatted Char"/>
    <w:link w:val="HTMLPreformatted"/>
    <w:uiPriority w:val="99"/>
    <w:locked/>
    <w:rsid w:val="0065613E"/>
    <w:rPr>
      <w:rFonts w:ascii="Courier New" w:hAnsi="Courier New" w:cs="Times New Roman"/>
    </w:rPr>
  </w:style>
  <w:style w:type="character" w:customStyle="1" w:styleId="a6">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
    <w:uiPriority w:val="99"/>
    <w:locked/>
    <w:rsid w:val="009619F0"/>
    <w:rPr>
      <w:rFonts w:eastAsia="Times New Roman"/>
      <w:sz w:val="24"/>
      <w:lang w:val="ru-RU" w:eastAsia="ru-RU"/>
    </w:rPr>
  </w:style>
  <w:style w:type="paragraph" w:customStyle="1" w:styleId="ListParagraph3">
    <w:name w:val="List Paragraph3"/>
    <w:aliases w:val="List Paragraph-ExecSummary"/>
    <w:basedOn w:val="Normal"/>
    <w:uiPriority w:val="99"/>
    <w:qFormat/>
    <w:rsid w:val="001F1161"/>
    <w:pPr>
      <w:ind w:left="720"/>
      <w:contextualSpacing/>
    </w:pPr>
    <w:rPr>
      <w:noProof w:val="0"/>
      <w:sz w:val="20"/>
      <w:szCs w:val="20"/>
      <w:lang w:val="en-US"/>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21853"/>
    <w:pPr>
      <w:tabs>
        <w:tab w:val="left" w:pos="709"/>
      </w:tabs>
    </w:pPr>
    <w:rPr>
      <w:rFonts w:ascii="Tahoma" w:hAnsi="Tahoma"/>
      <w:noProof w:val="0"/>
      <w:lang w:val="pl-PL" w:eastAsia="pl-PL"/>
    </w:rPr>
  </w:style>
  <w:style w:type="paragraph" w:customStyle="1" w:styleId="CharCharCharCharCharCharCharCharCharChar1">
    <w:name w:val="Char Char Char Char Char 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ListParagraph11">
    <w:name w:val="List Paragraph11"/>
    <w:basedOn w:val="Normal"/>
    <w:uiPriority w:val="99"/>
    <w:qFormat/>
    <w:rsid w:val="00D21853"/>
    <w:pPr>
      <w:ind w:left="720"/>
      <w:contextualSpacing/>
    </w:pPr>
    <w:rPr>
      <w:noProof w:val="0"/>
      <w:sz w:val="20"/>
      <w:szCs w:val="20"/>
      <w:lang w:val="en-AU" w:eastAsia="ru-RU"/>
    </w:rPr>
  </w:style>
  <w:style w:type="paragraph" w:customStyle="1" w:styleId="31">
    <w:name w:val="Знак Знак3"/>
    <w:basedOn w:val="Normal"/>
    <w:autoRedefine/>
    <w:uiPriority w:val="99"/>
    <w:qFormat/>
    <w:rsid w:val="00D21853"/>
    <w:rPr>
      <w:rFonts w:eastAsia="SimSun"/>
      <w:noProof w:val="0"/>
      <w:sz w:val="20"/>
      <w:szCs w:val="20"/>
      <w:lang w:val="en-US" w:eastAsia="ru-RU"/>
    </w:rPr>
  </w:style>
  <w:style w:type="paragraph" w:customStyle="1" w:styleId="Znak1">
    <w:name w:val="Znak1"/>
    <w:basedOn w:val="Normal"/>
    <w:uiPriority w:val="99"/>
    <w:qFormat/>
    <w:rsid w:val="00D21853"/>
    <w:pPr>
      <w:tabs>
        <w:tab w:val="left" w:pos="709"/>
      </w:tabs>
    </w:pPr>
    <w:rPr>
      <w:rFonts w:ascii="Tahoma" w:hAnsi="Tahoma"/>
      <w:noProof w:val="0"/>
      <w:lang w:val="pl-PL" w:eastAsia="pl-PL"/>
    </w:rPr>
  </w:style>
  <w:style w:type="paragraph" w:customStyle="1" w:styleId="Char3">
    <w:name w:val="Char3"/>
    <w:basedOn w:val="Normal"/>
    <w:uiPriority w:val="99"/>
    <w:qFormat/>
    <w:locked/>
    <w:rsid w:val="00D21853"/>
    <w:pPr>
      <w:spacing w:after="160"/>
    </w:pPr>
    <w:rPr>
      <w:rFonts w:ascii="Verdana" w:eastAsia="Batang" w:hAnsi="Verdana" w:cs="Verdana"/>
      <w:noProof w:val="0"/>
      <w:lang w:val="en-US"/>
    </w:rPr>
  </w:style>
  <w:style w:type="character" w:customStyle="1" w:styleId="CharChar183">
    <w:name w:val="Char Char183"/>
    <w:uiPriority w:val="99"/>
    <w:rsid w:val="00D21853"/>
    <w:rPr>
      <w:rFonts w:ascii="Times Armenian" w:hAnsi="Times Armenian"/>
      <w:b/>
      <w:i/>
      <w:noProof/>
      <w:sz w:val="20"/>
      <w:lang w:val="hy-AM"/>
    </w:rPr>
  </w:style>
  <w:style w:type="character" w:customStyle="1" w:styleId="CharChar133">
    <w:name w:val="Char Char133"/>
    <w:uiPriority w:val="99"/>
    <w:semiHidden/>
    <w:rsid w:val="00D21853"/>
    <w:rPr>
      <w:rFonts w:ascii="Times New Roman" w:hAnsi="Times New Roman"/>
      <w:noProof/>
      <w:sz w:val="20"/>
      <w:lang w:val="hy-AM"/>
    </w:rPr>
  </w:style>
  <w:style w:type="paragraph" w:customStyle="1" w:styleId="CharCharCharCharChar1">
    <w:name w:val="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ZchnZchn11">
    <w:name w:val="Zchn Zchn11"/>
    <w:basedOn w:val="Normal"/>
    <w:uiPriority w:val="99"/>
    <w:qFormat/>
    <w:rsid w:val="00D21853"/>
    <w:pPr>
      <w:spacing w:after="160" w:line="240" w:lineRule="exact"/>
    </w:pPr>
    <w:rPr>
      <w:rFonts w:ascii="Verdana" w:hAnsi="Verdana"/>
      <w:noProof w:val="0"/>
      <w:sz w:val="20"/>
      <w:szCs w:val="20"/>
      <w:lang w:val="en-GB"/>
    </w:rPr>
  </w:style>
  <w:style w:type="paragraph" w:customStyle="1" w:styleId="Char11">
    <w:name w:val="Char1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3CharCharChar1">
    <w:name w:val="Char3 Char Char Char1"/>
    <w:basedOn w:val="Normal"/>
    <w:next w:val="Normal"/>
    <w:uiPriority w:val="99"/>
    <w:semiHidden/>
    <w:qFormat/>
    <w:rsid w:val="00D21853"/>
    <w:pPr>
      <w:spacing w:after="160" w:line="240" w:lineRule="exact"/>
    </w:pPr>
    <w:rPr>
      <w:rFonts w:ascii="Arial" w:hAnsi="Arial" w:cs="Arial"/>
      <w:noProof w:val="0"/>
      <w:sz w:val="20"/>
      <w:szCs w:val="20"/>
      <w:lang w:val="en-GB"/>
    </w:rPr>
  </w:style>
  <w:style w:type="paragraph" w:customStyle="1" w:styleId="CharChar1CharCharChar1Char1">
    <w:name w:val="Char Char1 Char Char Char1 Char1"/>
    <w:basedOn w:val="Normal"/>
    <w:autoRedefine/>
    <w:uiPriority w:val="99"/>
    <w:qFormat/>
    <w:rsid w:val="00D21853"/>
    <w:rPr>
      <w:rFonts w:eastAsia="SimSun"/>
      <w:noProof w:val="0"/>
      <w:sz w:val="20"/>
      <w:szCs w:val="20"/>
      <w:lang w:val="en-US" w:eastAsia="ru-RU"/>
    </w:rPr>
  </w:style>
  <w:style w:type="paragraph" w:customStyle="1" w:styleId="CharCharChar1">
    <w:name w:val="Char Char Char Знак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CharChar1CharCharCharCharCharCharCharCharChar1Char1">
    <w:name w:val="Char Char Char1 Char Char Char Char Char Char Char Char Char1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110">
    <w:name w:val="Знак Знак11"/>
    <w:basedOn w:val="Normal"/>
    <w:uiPriority w:val="99"/>
    <w:qFormat/>
    <w:rsid w:val="00D21853"/>
    <w:pPr>
      <w:spacing w:after="160" w:line="240" w:lineRule="exact"/>
    </w:pPr>
    <w:rPr>
      <w:rFonts w:ascii="Arial" w:hAnsi="Arial" w:cs="Arial"/>
      <w:noProof w:val="0"/>
      <w:sz w:val="20"/>
      <w:szCs w:val="20"/>
      <w:lang w:val="en-US"/>
    </w:rPr>
  </w:style>
  <w:style w:type="paragraph" w:customStyle="1" w:styleId="BodyText11">
    <w:name w:val="Body Text11"/>
    <w:basedOn w:val="Default"/>
    <w:next w:val="Default"/>
    <w:uiPriority w:val="99"/>
    <w:qFormat/>
    <w:rsid w:val="00D21853"/>
    <w:rPr>
      <w:rFonts w:ascii="Sylfaen" w:hAnsi="Sylfaen"/>
      <w:color w:val="auto"/>
    </w:rPr>
  </w:style>
  <w:style w:type="paragraph" w:customStyle="1" w:styleId="210">
    <w:name w:val="Знак Знак2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10">
    <w:name w:val="Char Char Char Знак Знак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CharChar10">
    <w:name w:val="Char Char Char Char Char Знак Знак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123">
    <w:name w:val="Char Char123"/>
    <w:uiPriority w:val="99"/>
    <w:semiHidden/>
    <w:locked/>
    <w:rsid w:val="00D21853"/>
    <w:rPr>
      <w:rFonts w:ascii="Times New Roman" w:hAnsi="Times New Roman"/>
      <w:noProof/>
      <w:sz w:val="24"/>
      <w:lang w:val="hy-AM"/>
    </w:rPr>
  </w:style>
  <w:style w:type="character" w:customStyle="1" w:styleId="CharChar61">
    <w:name w:val="Char Char61"/>
    <w:uiPriority w:val="99"/>
    <w:rsid w:val="00D21853"/>
    <w:rPr>
      <w:rFonts w:ascii="Times Armenian" w:hAnsi="Times Armenian"/>
      <w:b/>
      <w:i/>
      <w:noProof/>
      <w:sz w:val="26"/>
      <w:u w:val="single"/>
      <w:lang w:val="hy-AM" w:eastAsia="en-US"/>
    </w:rPr>
  </w:style>
  <w:style w:type="character" w:customStyle="1" w:styleId="CharChar51">
    <w:name w:val="Char Char51"/>
    <w:uiPriority w:val="99"/>
    <w:rsid w:val="00D21853"/>
    <w:rPr>
      <w:rFonts w:ascii="Times Armenian" w:hAnsi="Times Armenian"/>
      <w:noProof/>
      <w:sz w:val="24"/>
      <w:lang w:val="hy-AM" w:eastAsia="en-US"/>
    </w:rPr>
  </w:style>
  <w:style w:type="character" w:customStyle="1" w:styleId="CharChar41">
    <w:name w:val="Char Char41"/>
    <w:uiPriority w:val="99"/>
    <w:rsid w:val="00D21853"/>
    <w:rPr>
      <w:noProof/>
      <w:lang w:val="hy-AM" w:eastAsia="en-US"/>
    </w:rPr>
  </w:style>
  <w:style w:type="paragraph" w:customStyle="1" w:styleId="CharCharCharChar1">
    <w:name w:val="Char Char Char Char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233">
    <w:name w:val="Char Char233"/>
    <w:uiPriority w:val="99"/>
    <w:rsid w:val="00D21853"/>
    <w:rPr>
      <w:rFonts w:ascii="Times Armenian" w:hAnsi="Times Armenian"/>
      <w:noProof/>
      <w:sz w:val="24"/>
      <w:u w:val="single"/>
      <w:lang w:val="hy-AM"/>
    </w:rPr>
  </w:style>
  <w:style w:type="character" w:customStyle="1" w:styleId="CharChar243">
    <w:name w:val="Char Char243"/>
    <w:uiPriority w:val="99"/>
    <w:locked/>
    <w:rsid w:val="00D21853"/>
    <w:rPr>
      <w:rFonts w:ascii="Times Armenian" w:hAnsi="Times Armenian"/>
      <w:b/>
      <w:i/>
      <w:noProof/>
      <w:sz w:val="20"/>
      <w:lang w:val="hy-AM"/>
    </w:rPr>
  </w:style>
  <w:style w:type="paragraph" w:customStyle="1" w:styleId="CM4">
    <w:name w:val="CM4"/>
    <w:basedOn w:val="Default"/>
    <w:next w:val="Default"/>
    <w:uiPriority w:val="99"/>
    <w:qFormat/>
    <w:rsid w:val="00240100"/>
    <w:pPr>
      <w:widowControl w:val="0"/>
      <w:spacing w:line="248" w:lineRule="atLeast"/>
    </w:pPr>
    <w:rPr>
      <w:rFonts w:ascii="Arial Armenian" w:hAnsi="Arial Armenian"/>
      <w:color w:val="auto"/>
    </w:rPr>
  </w:style>
  <w:style w:type="character" w:customStyle="1" w:styleId="FontStyle37">
    <w:name w:val="Font Style37"/>
    <w:uiPriority w:val="99"/>
    <w:rsid w:val="00D412D4"/>
    <w:rPr>
      <w:rFonts w:ascii="Sylfaen" w:hAnsi="Sylfaen"/>
      <w:sz w:val="22"/>
    </w:rPr>
  </w:style>
  <w:style w:type="character" w:customStyle="1" w:styleId="apple-tab-span">
    <w:name w:val="apple-tab-span"/>
    <w:uiPriority w:val="99"/>
    <w:rsid w:val="001616B8"/>
  </w:style>
  <w:style w:type="paragraph" w:customStyle="1" w:styleId="Style10">
    <w:name w:val="Style10"/>
    <w:basedOn w:val="Normal"/>
    <w:uiPriority w:val="99"/>
    <w:qFormat/>
    <w:rsid w:val="007062EF"/>
    <w:pPr>
      <w:widowControl w:val="0"/>
      <w:autoSpaceDE w:val="0"/>
      <w:autoSpaceDN w:val="0"/>
      <w:adjustRightInd w:val="0"/>
      <w:spacing w:line="403" w:lineRule="exact"/>
      <w:ind w:firstLine="562"/>
      <w:jc w:val="both"/>
    </w:pPr>
    <w:rPr>
      <w:rFonts w:ascii="Tahoma" w:hAnsi="Tahoma" w:cs="Tahoma"/>
      <w:noProof w:val="0"/>
      <w:lang w:val="en-US"/>
    </w:rPr>
  </w:style>
  <w:style w:type="character" w:customStyle="1" w:styleId="Bodytext20">
    <w:name w:val="Body text (2)_"/>
    <w:link w:val="Bodytext22"/>
    <w:uiPriority w:val="99"/>
    <w:locked/>
    <w:rsid w:val="00234A5F"/>
    <w:rPr>
      <w:rFonts w:ascii="Sylfaen" w:hAnsi="Sylfaen"/>
      <w:spacing w:val="20"/>
      <w:sz w:val="22"/>
      <w:shd w:val="clear" w:color="auto" w:fill="FFFFFF"/>
    </w:rPr>
  </w:style>
  <w:style w:type="paragraph" w:customStyle="1" w:styleId="Bodytext22">
    <w:name w:val="Body text (2)"/>
    <w:basedOn w:val="Normal"/>
    <w:link w:val="Bodytext20"/>
    <w:uiPriority w:val="99"/>
    <w:qFormat/>
    <w:rsid w:val="00234A5F"/>
    <w:pPr>
      <w:widowControl w:val="0"/>
      <w:shd w:val="clear" w:color="auto" w:fill="FFFFFF"/>
      <w:spacing w:before="220" w:after="220" w:line="370" w:lineRule="exact"/>
      <w:ind w:hanging="360"/>
      <w:jc w:val="both"/>
    </w:pPr>
    <w:rPr>
      <w:rFonts w:ascii="Sylfaen" w:hAnsi="Sylfaen"/>
      <w:noProof w:val="0"/>
      <w:spacing w:val="20"/>
      <w:sz w:val="22"/>
      <w:szCs w:val="20"/>
      <w:lang w:val="en-US"/>
    </w:rPr>
  </w:style>
  <w:style w:type="character" w:customStyle="1" w:styleId="22">
    <w:name w:val="Основной текст (2)"/>
    <w:uiPriority w:val="99"/>
    <w:rsid w:val="00E97ECD"/>
    <w:rPr>
      <w:rFonts w:ascii="Tahoma" w:hAnsi="Tahoma"/>
      <w:color w:val="000000"/>
      <w:spacing w:val="0"/>
      <w:w w:val="100"/>
      <w:position w:val="0"/>
      <w:sz w:val="24"/>
      <w:u w:val="none"/>
      <w:lang w:val="hy-AM" w:eastAsia="hy-AM"/>
    </w:rPr>
  </w:style>
  <w:style w:type="character" w:customStyle="1" w:styleId="32ptExact">
    <w:name w:val="Основной текст (3) + Интервал 2 pt Exact"/>
    <w:uiPriority w:val="99"/>
    <w:rsid w:val="00532AB3"/>
    <w:rPr>
      <w:rFonts w:ascii="Sylfaen" w:hAnsi="Sylfaen"/>
      <w:spacing w:val="40"/>
      <w:sz w:val="20"/>
      <w:u w:val="none"/>
      <w:lang w:val="ru-RU" w:eastAsia="ru-RU"/>
    </w:rPr>
  </w:style>
  <w:style w:type="character" w:customStyle="1" w:styleId="PageNumber1">
    <w:name w:val="Page Number1"/>
    <w:uiPriority w:val="99"/>
    <w:rsid w:val="00532AB3"/>
  </w:style>
  <w:style w:type="character" w:customStyle="1" w:styleId="23">
    <w:name w:val="Основной текст (2)_"/>
    <w:uiPriority w:val="99"/>
    <w:rsid w:val="00532AB3"/>
    <w:rPr>
      <w:rFonts w:ascii="Sylfaen" w:hAnsi="Sylfaen"/>
      <w:i/>
      <w:shd w:val="clear" w:color="auto" w:fill="FFFFFF"/>
    </w:rPr>
  </w:style>
  <w:style w:type="character" w:customStyle="1" w:styleId="32">
    <w:name w:val="Основной текст (3)_"/>
    <w:uiPriority w:val="99"/>
    <w:rsid w:val="00532AB3"/>
    <w:rPr>
      <w:rFonts w:ascii="Sylfaen" w:hAnsi="Sylfaen"/>
      <w:spacing w:val="20"/>
      <w:w w:val="80"/>
      <w:sz w:val="21"/>
      <w:shd w:val="clear" w:color="auto" w:fill="FFFFFF"/>
    </w:rPr>
  </w:style>
  <w:style w:type="character" w:customStyle="1" w:styleId="311pt">
    <w:name w:val="Основной текст (3) + 11 pt"/>
    <w:uiPriority w:val="99"/>
    <w:rsid w:val="00532AB3"/>
    <w:rPr>
      <w:rFonts w:ascii="Sylfaen" w:hAnsi="Sylfaen"/>
      <w:i/>
      <w:spacing w:val="0"/>
      <w:w w:val="100"/>
      <w:sz w:val="22"/>
      <w:shd w:val="clear" w:color="auto" w:fill="FFFFFF"/>
    </w:rPr>
  </w:style>
  <w:style w:type="character" w:customStyle="1" w:styleId="311pt1">
    <w:name w:val="Основной текст (3) + 11 pt1"/>
    <w:uiPriority w:val="99"/>
    <w:rsid w:val="00532AB3"/>
    <w:rPr>
      <w:rFonts w:ascii="Sylfaen" w:hAnsi="Sylfaen"/>
      <w:spacing w:val="0"/>
      <w:w w:val="100"/>
      <w:sz w:val="22"/>
      <w:shd w:val="clear" w:color="auto" w:fill="FFFFFF"/>
    </w:rPr>
  </w:style>
  <w:style w:type="character" w:customStyle="1" w:styleId="4">
    <w:name w:val="Основной текст (4)_"/>
    <w:uiPriority w:val="99"/>
    <w:rsid w:val="00532AB3"/>
    <w:rPr>
      <w:rFonts w:ascii="Sylfaen" w:hAnsi="Sylfaen"/>
      <w:spacing w:val="20"/>
      <w:w w:val="80"/>
      <w:shd w:val="clear" w:color="auto" w:fill="FFFFFF"/>
    </w:rPr>
  </w:style>
  <w:style w:type="character" w:customStyle="1" w:styleId="4pt">
    <w:name w:val="Основной текст + 4 pt"/>
    <w:uiPriority w:val="99"/>
    <w:rsid w:val="00532AB3"/>
    <w:rPr>
      <w:rFonts w:ascii="Sylfaen" w:hAnsi="Sylfaen"/>
      <w:i/>
      <w:spacing w:val="0"/>
      <w:w w:val="100"/>
      <w:sz w:val="8"/>
      <w:shd w:val="clear" w:color="auto" w:fill="FFFFFF"/>
    </w:rPr>
  </w:style>
  <w:style w:type="character" w:customStyle="1" w:styleId="15">
    <w:name w:val="Заголовок №1_"/>
    <w:uiPriority w:val="99"/>
    <w:rsid w:val="00532AB3"/>
    <w:rPr>
      <w:rFonts w:ascii="Sylfaen" w:hAnsi="Sylfaen"/>
      <w:i/>
      <w:spacing w:val="-30"/>
      <w:sz w:val="31"/>
      <w:shd w:val="clear" w:color="auto" w:fill="FFFFFF"/>
    </w:rPr>
  </w:style>
  <w:style w:type="character" w:customStyle="1" w:styleId="111">
    <w:name w:val="Заголовок №1 + 11"/>
    <w:uiPriority w:val="99"/>
    <w:rsid w:val="00532AB3"/>
    <w:rPr>
      <w:rFonts w:ascii="Sylfaen" w:hAnsi="Sylfaen"/>
      <w:i/>
      <w:spacing w:val="-20"/>
      <w:sz w:val="23"/>
      <w:shd w:val="clear" w:color="auto" w:fill="FFFFFF"/>
    </w:rPr>
  </w:style>
  <w:style w:type="character" w:customStyle="1" w:styleId="Sylfaen2">
    <w:name w:val="Основной текст + Sylfaen2"/>
    <w:uiPriority w:val="99"/>
    <w:rsid w:val="00532AB3"/>
    <w:rPr>
      <w:rFonts w:ascii="Sylfaen" w:hAnsi="Sylfaen"/>
      <w:spacing w:val="20"/>
      <w:w w:val="80"/>
      <w:sz w:val="22"/>
      <w:u w:val="none"/>
      <w:shd w:val="clear" w:color="auto" w:fill="FFFFFF"/>
    </w:rPr>
  </w:style>
  <w:style w:type="character" w:customStyle="1" w:styleId="Sylfaen1">
    <w:name w:val="Основной текст + Sylfaen1"/>
    <w:uiPriority w:val="99"/>
    <w:rsid w:val="00532AB3"/>
    <w:rPr>
      <w:rFonts w:ascii="Sylfaen" w:hAnsi="Sylfaen"/>
      <w:spacing w:val="20"/>
      <w:w w:val="80"/>
      <w:sz w:val="20"/>
      <w:u w:val="none"/>
      <w:shd w:val="clear" w:color="auto" w:fill="FFFFFF"/>
    </w:rPr>
  </w:style>
  <w:style w:type="character" w:customStyle="1" w:styleId="a7">
    <w:name w:val="Основной текст + Полужирный"/>
    <w:uiPriority w:val="99"/>
    <w:rsid w:val="00532AB3"/>
    <w:rPr>
      <w:rFonts w:ascii="Sylfaen" w:hAnsi="Sylfaen"/>
      <w:b/>
      <w:spacing w:val="20"/>
      <w:w w:val="80"/>
      <w:sz w:val="21"/>
      <w:u w:val="none"/>
      <w:shd w:val="clear" w:color="auto" w:fill="FFFFFF"/>
    </w:rPr>
  </w:style>
  <w:style w:type="character" w:customStyle="1" w:styleId="shorttext">
    <w:name w:val="short_text"/>
    <w:uiPriority w:val="99"/>
    <w:rsid w:val="00532AB3"/>
  </w:style>
  <w:style w:type="character" w:customStyle="1" w:styleId="textexposedshow">
    <w:name w:val="text_exposed_show"/>
    <w:uiPriority w:val="99"/>
    <w:rsid w:val="00532AB3"/>
  </w:style>
  <w:style w:type="character" w:customStyle="1" w:styleId="ListLabel1">
    <w:name w:val="ListLabel 1"/>
    <w:uiPriority w:val="99"/>
    <w:rsid w:val="00532AB3"/>
    <w:rPr>
      <w:rFonts w:eastAsia="Times New Roman"/>
      <w:color w:val="000000"/>
    </w:rPr>
  </w:style>
  <w:style w:type="character" w:customStyle="1" w:styleId="ListLabel2">
    <w:name w:val="ListLabel 2"/>
    <w:uiPriority w:val="99"/>
    <w:rsid w:val="00532AB3"/>
  </w:style>
  <w:style w:type="character" w:customStyle="1" w:styleId="ListLabel3">
    <w:name w:val="ListLabel 3"/>
    <w:uiPriority w:val="99"/>
    <w:rsid w:val="00532AB3"/>
  </w:style>
  <w:style w:type="character" w:customStyle="1" w:styleId="ListLabel4">
    <w:name w:val="ListLabel 4"/>
    <w:uiPriority w:val="99"/>
    <w:rsid w:val="00532AB3"/>
  </w:style>
  <w:style w:type="character" w:customStyle="1" w:styleId="ListLabel5">
    <w:name w:val="ListLabel 5"/>
    <w:uiPriority w:val="99"/>
    <w:rsid w:val="00532AB3"/>
    <w:rPr>
      <w:color w:val="auto"/>
    </w:rPr>
  </w:style>
  <w:style w:type="character" w:customStyle="1" w:styleId="ListLabel6">
    <w:name w:val="ListLabel 6"/>
    <w:uiPriority w:val="99"/>
    <w:rsid w:val="00532AB3"/>
    <w:rPr>
      <w:b/>
      <w:i/>
    </w:rPr>
  </w:style>
  <w:style w:type="character" w:customStyle="1" w:styleId="ListLabel7">
    <w:name w:val="ListLabel 7"/>
    <w:uiPriority w:val="99"/>
    <w:rsid w:val="00532AB3"/>
    <w:rPr>
      <w:sz w:val="24"/>
    </w:rPr>
  </w:style>
  <w:style w:type="character" w:customStyle="1" w:styleId="ListLabel8">
    <w:name w:val="ListLabel 8"/>
    <w:uiPriority w:val="99"/>
    <w:rsid w:val="00532AB3"/>
    <w:rPr>
      <w:rFonts w:eastAsia="Times New Roman"/>
    </w:rPr>
  </w:style>
  <w:style w:type="paragraph" w:customStyle="1" w:styleId="Heading">
    <w:name w:val="Heading"/>
    <w:basedOn w:val="Normal"/>
    <w:next w:val="BodyText"/>
    <w:uiPriority w:val="99"/>
    <w:qFormat/>
    <w:rsid w:val="00532AB3"/>
    <w:pPr>
      <w:keepNext/>
      <w:suppressAutoHyphens/>
      <w:spacing w:before="240" w:after="120" w:line="276" w:lineRule="auto"/>
    </w:pPr>
    <w:rPr>
      <w:rFonts w:ascii="Liberation Sans" w:hAnsi="Liberation Sans" w:cs="Liberation Sans"/>
      <w:noProof w:val="0"/>
      <w:kern w:val="1"/>
      <w:sz w:val="28"/>
      <w:szCs w:val="28"/>
      <w:lang w:val="en-US"/>
    </w:rPr>
  </w:style>
  <w:style w:type="paragraph" w:styleId="List">
    <w:name w:val="List"/>
    <w:basedOn w:val="BodyText"/>
    <w:uiPriority w:val="99"/>
    <w:rsid w:val="00532AB3"/>
    <w:pPr>
      <w:suppressAutoHyphens/>
      <w:spacing w:line="288" w:lineRule="auto"/>
    </w:pPr>
    <w:rPr>
      <w:rFonts w:ascii="GHEA Grapalat" w:hAnsi="GHEA Grapalat" w:cs="GHEA Grapalat"/>
      <w:noProof w:val="0"/>
      <w:kern w:val="1"/>
      <w:sz w:val="22"/>
      <w:szCs w:val="22"/>
      <w:lang w:val="en-US"/>
    </w:rPr>
  </w:style>
  <w:style w:type="paragraph" w:customStyle="1" w:styleId="Index">
    <w:name w:val="Index"/>
    <w:basedOn w:val="Normal"/>
    <w:uiPriority w:val="99"/>
    <w:qFormat/>
    <w:rsid w:val="00532AB3"/>
    <w:pPr>
      <w:suppressLineNumbers/>
      <w:suppressAutoHyphens/>
      <w:spacing w:after="200" w:line="276" w:lineRule="auto"/>
    </w:pPr>
    <w:rPr>
      <w:rFonts w:ascii="Calibri" w:hAnsi="Calibri" w:cs="Calibri"/>
      <w:noProof w:val="0"/>
      <w:kern w:val="1"/>
      <w:sz w:val="22"/>
      <w:szCs w:val="22"/>
      <w:lang w:val="en-US"/>
    </w:rPr>
  </w:style>
  <w:style w:type="paragraph" w:customStyle="1" w:styleId="Char4">
    <w:name w:val="Char4"/>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2">
    <w:name w:val="p2"/>
    <w:basedOn w:val="Normal"/>
    <w:uiPriority w:val="99"/>
    <w:qFormat/>
    <w:rsid w:val="00532AB3"/>
    <w:pPr>
      <w:suppressAutoHyphens/>
      <w:spacing w:before="280" w:after="280"/>
    </w:pPr>
    <w:rPr>
      <w:noProof w:val="0"/>
      <w:kern w:val="1"/>
      <w:lang w:val="en-US"/>
    </w:rPr>
  </w:style>
  <w:style w:type="paragraph" w:customStyle="1" w:styleId="CharChar1">
    <w:name w:val="Char Char1"/>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2">
    <w:name w:val="Char Char Char Знак Знак Char Char Знак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CharCharCharCharCharCharCharChar">
    <w:name w:val="Char Char Char Char Char Char Char Char Char Char Char Char Char"/>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5">
    <w:name w:val="Char5"/>
    <w:basedOn w:val="Normal"/>
    <w:uiPriority w:val="99"/>
    <w:qFormat/>
    <w:rsid w:val="00532AB3"/>
    <w:pPr>
      <w:suppressAutoHyphens/>
      <w:spacing w:after="160" w:line="240" w:lineRule="exact"/>
    </w:pPr>
    <w:rPr>
      <w:rFonts w:ascii="Arial" w:hAnsi="Arial" w:cs="Arial"/>
      <w:noProof w:val="0"/>
      <w:kern w:val="1"/>
      <w:sz w:val="20"/>
      <w:szCs w:val="20"/>
      <w:lang w:val="en-US"/>
    </w:rPr>
  </w:style>
  <w:style w:type="character" w:customStyle="1" w:styleId="BodyText3Char1">
    <w:name w:val="Body Text 3 Char1"/>
    <w:uiPriority w:val="99"/>
    <w:locked/>
    <w:rsid w:val="00532AB3"/>
    <w:rPr>
      <w:rFonts w:ascii="Calibri" w:hAnsi="Calibri"/>
      <w:kern w:val="1"/>
      <w:sz w:val="16"/>
    </w:rPr>
  </w:style>
  <w:style w:type="paragraph" w:customStyle="1" w:styleId="a8">
    <w:name w:val="Стиль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16">
    <w:name w:val="Без интервала1"/>
    <w:uiPriority w:val="99"/>
    <w:qFormat/>
    <w:rsid w:val="00532AB3"/>
    <w:pPr>
      <w:suppressAutoHyphens/>
    </w:pPr>
    <w:rPr>
      <w:rFonts w:ascii="GHEA Grapalat" w:hAnsi="GHEA Grapalat" w:cs="GHEA Grapalat"/>
      <w:kern w:val="1"/>
      <w:sz w:val="22"/>
      <w:szCs w:val="22"/>
    </w:rPr>
  </w:style>
  <w:style w:type="paragraph" w:customStyle="1" w:styleId="112">
    <w:name w:val="Без интервала11"/>
    <w:uiPriority w:val="99"/>
    <w:qFormat/>
    <w:rsid w:val="00532AB3"/>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532AB3"/>
    <w:pPr>
      <w:widowControl w:val="0"/>
      <w:suppressAutoHyphens/>
      <w:jc w:val="center"/>
    </w:pPr>
    <w:rPr>
      <w:rFonts w:ascii="Times LatArm" w:hAnsi="Times LatArm" w:cs="Times LatArm"/>
      <w:noProof w:val="0"/>
      <w:kern w:val="1"/>
      <w:lang w:val="en-US"/>
    </w:rPr>
  </w:style>
  <w:style w:type="paragraph" w:customStyle="1" w:styleId="113">
    <w:name w:val="Основной текст11"/>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532AB3"/>
    <w:pPr>
      <w:suppressAutoHyphens/>
      <w:spacing w:after="200" w:line="276" w:lineRule="auto"/>
    </w:pPr>
    <w:rPr>
      <w:rFonts w:ascii="Sylfaen" w:hAnsi="Sylfaen" w:cs="Sylfaen"/>
      <w:noProof w:val="0"/>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532AB3"/>
    <w:rPr>
      <w:rFonts w:ascii="Calibri" w:hAnsi="Calibri"/>
      <w:kern w:val="1"/>
      <w:sz w:val="16"/>
    </w:rPr>
  </w:style>
  <w:style w:type="paragraph" w:customStyle="1" w:styleId="17">
    <w:name w:val="Заголовок №1"/>
    <w:basedOn w:val="Normal"/>
    <w:uiPriority w:val="99"/>
    <w:qFormat/>
    <w:rsid w:val="00532AB3"/>
    <w:pPr>
      <w:suppressAutoHyphens/>
      <w:spacing w:after="200" w:line="276" w:lineRule="auto"/>
    </w:pPr>
    <w:rPr>
      <w:rFonts w:ascii="Sylfaen" w:hAnsi="Sylfaen" w:cs="Sylfaen"/>
      <w:i/>
      <w:iCs/>
      <w:noProof w:val="0"/>
      <w:spacing w:val="-30"/>
      <w:kern w:val="1"/>
      <w:sz w:val="31"/>
      <w:szCs w:val="31"/>
      <w:shd w:val="clear" w:color="auto" w:fill="FFFFFF"/>
      <w:lang w:val="ru-RU" w:eastAsia="ru-RU"/>
    </w:rPr>
  </w:style>
  <w:style w:type="paragraph" w:customStyle="1" w:styleId="CharCharChar2">
    <w:name w:val="Char Char Char"/>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20">
    <w:name w:val="Char Char2"/>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ara">
    <w:name w:val="Para"/>
    <w:basedOn w:val="Normal"/>
    <w:autoRedefine/>
    <w:uiPriority w:val="99"/>
    <w:qFormat/>
    <w:rsid w:val="00532AB3"/>
    <w:pPr>
      <w:suppressAutoHyphens/>
      <w:ind w:left="180" w:right="244"/>
      <w:jc w:val="both"/>
    </w:pPr>
    <w:rPr>
      <w:rFonts w:ascii="GHEA Grapalat" w:hAnsi="GHEA Grapalat" w:cs="GHEA Grapalat"/>
      <w:b/>
      <w:bCs/>
      <w:noProof w:val="0"/>
      <w:kern w:val="1"/>
    </w:rPr>
  </w:style>
  <w:style w:type="paragraph" w:customStyle="1" w:styleId="CharCharCharCharChar11">
    <w:name w:val="Char Char Char Знак Знак Char Char Знак Знак1"/>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3">
    <w:name w:val="Char Char3"/>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FrameContents">
    <w:name w:val="Frame Contents"/>
    <w:basedOn w:val="Normal"/>
    <w:uiPriority w:val="99"/>
    <w:qFormat/>
    <w:rsid w:val="00532AB3"/>
    <w:pPr>
      <w:suppressAutoHyphens/>
      <w:spacing w:after="200" w:line="276" w:lineRule="auto"/>
    </w:pPr>
    <w:rPr>
      <w:rFonts w:ascii="Calibri" w:hAnsi="Calibri" w:cs="Calibri"/>
      <w:noProof w:val="0"/>
      <w:kern w:val="1"/>
      <w:sz w:val="22"/>
      <w:szCs w:val="22"/>
      <w:lang w:val="en-US"/>
    </w:rPr>
  </w:style>
  <w:style w:type="paragraph" w:customStyle="1" w:styleId="CharCharCharCharChar20">
    <w:name w:val="Char Char Char Знак Знак Char Char Знак Знак2"/>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11">
    <w:name w:val="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BodyTextTimesArmenian">
    <w:name w:val="Body Text + Times Armenian"/>
    <w:aliases w:val="Justified,Left:  0.5&quot;,First line:  0.42&quot;,Line ..."/>
    <w:basedOn w:val="BodyText"/>
    <w:uiPriority w:val="99"/>
    <w:qFormat/>
    <w:rsid w:val="00532AB3"/>
    <w:pPr>
      <w:spacing w:line="360" w:lineRule="auto"/>
      <w:ind w:left="720" w:firstLine="600"/>
      <w:jc w:val="both"/>
    </w:pPr>
    <w:rPr>
      <w:rFonts w:ascii="Times Armenian" w:hAnsi="Times Armenian" w:cs="Times Armenian"/>
      <w:noProof w:val="0"/>
      <w:lang w:val="en-US"/>
    </w:rPr>
  </w:style>
  <w:style w:type="paragraph" w:customStyle="1" w:styleId="CharCharCharCharCharCharCharCharCharCharCharCharChar1">
    <w:name w:val="Char Char Char Char Char Char 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
    <w:name w:val="Char 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TegnTegnCharCharTegnTegnCharCharChar">
    <w:name w:val="Char Char Char Tegn Tegn Char Char Tegn Tegn Char Char Char"/>
    <w:basedOn w:val="Normal"/>
    <w:uiPriority w:val="99"/>
    <w:qFormat/>
    <w:rsid w:val="00532AB3"/>
    <w:pPr>
      <w:tabs>
        <w:tab w:val="left" w:pos="709"/>
      </w:tabs>
    </w:pPr>
    <w:rPr>
      <w:rFonts w:ascii="Tahoma" w:hAnsi="Tahoma" w:cs="Tahoma"/>
      <w:noProof w:val="0"/>
      <w:lang w:val="pl-PL" w:eastAsia="pl-PL"/>
    </w:rPr>
  </w:style>
  <w:style w:type="paragraph" w:customStyle="1" w:styleId="CharCharCharCharCharCharChar1">
    <w:name w:val="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Char">
    <w:name w:val="Char Char Char Char Char Char1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text0">
    <w:name w:val="text"/>
    <w:basedOn w:val="Normal"/>
    <w:link w:val="textChar"/>
    <w:uiPriority w:val="99"/>
    <w:qFormat/>
    <w:rsid w:val="00532AB3"/>
    <w:pPr>
      <w:ind w:firstLine="454"/>
      <w:jc w:val="both"/>
    </w:pPr>
    <w:rPr>
      <w:rFonts w:ascii="GHEA Mariam" w:hAnsi="GHEA Mariam"/>
      <w:noProof w:val="0"/>
      <w:sz w:val="20"/>
      <w:szCs w:val="20"/>
      <w:lang w:val="en-GB" w:eastAsia="ru-RU"/>
    </w:rPr>
  </w:style>
  <w:style w:type="character" w:customStyle="1" w:styleId="textChar">
    <w:name w:val="text Char"/>
    <w:link w:val="text0"/>
    <w:uiPriority w:val="99"/>
    <w:locked/>
    <w:rsid w:val="00532AB3"/>
    <w:rPr>
      <w:rFonts w:ascii="GHEA Mariam" w:hAnsi="GHEA Mariam"/>
      <w:lang w:val="en-GB" w:eastAsia="ru-RU"/>
    </w:rPr>
  </w:style>
  <w:style w:type="paragraph" w:customStyle="1" w:styleId="BULET">
    <w:name w:val="BULET"/>
    <w:basedOn w:val="text0"/>
    <w:uiPriority w:val="99"/>
    <w:qFormat/>
    <w:rsid w:val="00532AB3"/>
    <w:pPr>
      <w:numPr>
        <w:numId w:val="3"/>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
    <w:name w:val="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0">
    <w:name w:val="Знак Знак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BSAPtext">
    <w:name w:val="BSAP text"/>
    <w:basedOn w:val="Normal"/>
    <w:uiPriority w:val="99"/>
    <w:qFormat/>
    <w:rsid w:val="00532AB3"/>
    <w:pPr>
      <w:spacing w:line="312" w:lineRule="auto"/>
      <w:jc w:val="both"/>
    </w:pPr>
    <w:rPr>
      <w:rFonts w:ascii="Bookman Old Style" w:hAnsi="Bookman Old Style" w:cs="Bookman Old Style"/>
      <w:noProof w:val="0"/>
      <w:sz w:val="22"/>
      <w:szCs w:val="22"/>
      <w:lang w:val="en-US"/>
    </w:rPr>
  </w:style>
  <w:style w:type="paragraph" w:customStyle="1" w:styleId="CharChar">
    <w:name w:val="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
    <w:name w:val="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
    <w:name w:val="Char Char Char Char Char Char Char Char Char"/>
    <w:basedOn w:val="Normal"/>
    <w:uiPriority w:val="99"/>
    <w:qFormat/>
    <w:rsid w:val="00532AB3"/>
    <w:pPr>
      <w:spacing w:after="160" w:line="240" w:lineRule="exact"/>
    </w:pPr>
    <w:rPr>
      <w:rFonts w:ascii="Arial" w:hAnsi="Arial" w:cs="Arial"/>
      <w:noProof w:val="0"/>
      <w:sz w:val="20"/>
      <w:szCs w:val="20"/>
      <w:lang w:val="en-US"/>
    </w:rPr>
  </w:style>
  <w:style w:type="character" w:customStyle="1" w:styleId="usercontent">
    <w:name w:val="usercontent"/>
    <w:uiPriority w:val="99"/>
    <w:rsid w:val="00532AB3"/>
  </w:style>
  <w:style w:type="paragraph" w:customStyle="1" w:styleId="CharCharCharCharCharCharChar0">
    <w:name w:val="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
    <w:name w:val="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NoSpacing2">
    <w:name w:val="No Spacing2"/>
    <w:uiPriority w:val="99"/>
    <w:qFormat/>
    <w:rsid w:val="00532AB3"/>
    <w:rPr>
      <w:rFonts w:ascii="Arial Armenian" w:hAnsi="Arial Armenian" w:cs="Arial Armenian"/>
      <w:sz w:val="24"/>
      <w:szCs w:val="24"/>
      <w:lang w:val="ru-RU"/>
    </w:rPr>
  </w:style>
  <w:style w:type="paragraph" w:customStyle="1" w:styleId="Standard">
    <w:name w:val="Standard"/>
    <w:uiPriority w:val="99"/>
    <w:qFormat/>
    <w:rsid w:val="00532AB3"/>
    <w:pPr>
      <w:widowControl w:val="0"/>
      <w:suppressAutoHyphens/>
      <w:autoSpaceDN w:val="0"/>
      <w:textAlignment w:val="baseline"/>
    </w:pPr>
    <w:rPr>
      <w:kern w:val="3"/>
      <w:sz w:val="24"/>
      <w:szCs w:val="24"/>
    </w:rPr>
  </w:style>
  <w:style w:type="character" w:customStyle="1" w:styleId="user-name">
    <w:name w:val="user-name"/>
    <w:uiPriority w:val="99"/>
    <w:rsid w:val="00532AB3"/>
  </w:style>
  <w:style w:type="character" w:customStyle="1" w:styleId="SubtleEmphasis1">
    <w:name w:val="Subtle Emphasis1"/>
    <w:uiPriority w:val="99"/>
    <w:qFormat/>
    <w:rsid w:val="00532AB3"/>
    <w:rPr>
      <w:i/>
      <w:color w:val="808080"/>
    </w:rPr>
  </w:style>
  <w:style w:type="paragraph" w:customStyle="1" w:styleId="IntenseQuote1">
    <w:name w:val="Intense Quote1"/>
    <w:basedOn w:val="Normal"/>
    <w:next w:val="Normal"/>
    <w:uiPriority w:val="99"/>
    <w:qFormat/>
    <w:rsid w:val="00532AB3"/>
    <w:pPr>
      <w:pBdr>
        <w:bottom w:val="single" w:sz="4" w:space="4" w:color="4F81BD"/>
      </w:pBdr>
      <w:spacing w:before="200" w:after="280"/>
      <w:ind w:left="936" w:right="936"/>
    </w:pPr>
    <w:rPr>
      <w:rFonts w:ascii="Arial Armenian" w:hAnsi="Arial Armenian" w:cs="Arial Armenian"/>
      <w:b/>
      <w:bCs/>
      <w:i/>
      <w:iCs/>
      <w:color w:val="4F81BD"/>
      <w:lang w:val="en-US"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25">
    <w:name w:val="Без интервала2"/>
    <w:uiPriority w:val="99"/>
    <w:qFormat/>
    <w:rsid w:val="00532AB3"/>
    <w:pPr>
      <w:suppressAutoHyphens/>
    </w:pPr>
    <w:rPr>
      <w:rFonts w:ascii="GHEA Grapalat" w:hAnsi="GHEA Grapalat" w:cs="GHEA Grapalat"/>
      <w:kern w:val="1"/>
      <w:sz w:val="22"/>
      <w:szCs w:val="22"/>
    </w:rPr>
  </w:style>
  <w:style w:type="character" w:customStyle="1" w:styleId="5yl5">
    <w:name w:val="_5yl5"/>
    <w:uiPriority w:val="99"/>
    <w:rsid w:val="00532AB3"/>
  </w:style>
  <w:style w:type="character" w:customStyle="1" w:styleId="18">
    <w:name w:val="Номер страницы1"/>
    <w:uiPriority w:val="99"/>
    <w:rsid w:val="00532AB3"/>
  </w:style>
  <w:style w:type="character" w:customStyle="1" w:styleId="26">
    <w:name w:val="Основной текст2"/>
    <w:uiPriority w:val="99"/>
    <w:rsid w:val="00532AB3"/>
    <w:rPr>
      <w:rFonts w:ascii="Sylfaen" w:hAnsi="Sylfaen"/>
      <w:spacing w:val="20"/>
      <w:w w:val="80"/>
      <w:sz w:val="19"/>
      <w:shd w:val="clear" w:color="auto" w:fill="FFFFFF"/>
    </w:rPr>
  </w:style>
  <w:style w:type="paragraph" w:customStyle="1" w:styleId="Revision1">
    <w:name w:val="Revision1"/>
    <w:hidden/>
    <w:uiPriority w:val="99"/>
    <w:semiHidden/>
    <w:qFormat/>
    <w:rsid w:val="00532AB3"/>
    <w:rPr>
      <w:sz w:val="24"/>
      <w:szCs w:val="24"/>
      <w:lang w:val="ru-RU" w:eastAsia="ru-RU"/>
    </w:rPr>
  </w:style>
  <w:style w:type="table" w:styleId="TableWeb1">
    <w:name w:val="Table Web 1"/>
    <w:basedOn w:val="TableNormal"/>
    <w:uiPriority w:val="99"/>
    <w:rsid w:val="00532AB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532AB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LineNumber">
    <w:name w:val="line number"/>
    <w:uiPriority w:val="99"/>
    <w:rsid w:val="00532AB3"/>
    <w:rPr>
      <w:rFonts w:cs="Times New Roman"/>
    </w:rPr>
  </w:style>
  <w:style w:type="character" w:customStyle="1" w:styleId="NormalWebChar">
    <w:name w:val="Normal (Web) Char"/>
    <w:aliases w:val="webb Char,Обычный (веб) Знак Знак Char,Знак Знак Знак Знак Char,Обычный (веб) Знак Знак Знак Char,Знак Знак Знак1 Знак Знак Знак Знак Знак Char,Знак1 Char,Знак Char,Char Char Char2,Обычный (веб) Char, webb Char, Char Char Char"/>
    <w:link w:val="NormalWeb"/>
    <w:uiPriority w:val="99"/>
    <w:locked/>
    <w:rsid w:val="00E0726E"/>
    <w:rPr>
      <w:noProof/>
      <w:sz w:val="24"/>
      <w:lang w:val="hy-AM"/>
    </w:rPr>
  </w:style>
  <w:style w:type="paragraph" w:customStyle="1" w:styleId="ModelNrmlSingle">
    <w:name w:val="ModelNrmlSingle"/>
    <w:basedOn w:val="Normal"/>
    <w:uiPriority w:val="99"/>
    <w:qFormat/>
    <w:rsid w:val="002D5F79"/>
    <w:pPr>
      <w:spacing w:after="240"/>
      <w:ind w:firstLine="720"/>
      <w:jc w:val="both"/>
    </w:pPr>
    <w:rPr>
      <w:noProof w:val="0"/>
      <w:sz w:val="22"/>
      <w:szCs w:val="20"/>
      <w:lang w:val="en-US"/>
    </w:rPr>
  </w:style>
  <w:style w:type="paragraph" w:customStyle="1" w:styleId="rmcbsepg">
    <w:name w:val="rmcbsepg"/>
    <w:basedOn w:val="Normal"/>
    <w:uiPriority w:val="99"/>
    <w:qFormat/>
    <w:rsid w:val="00D1740A"/>
    <w:pPr>
      <w:spacing w:before="100" w:beforeAutospacing="1" w:after="100" w:afterAutospacing="1"/>
    </w:pPr>
    <w:rPr>
      <w:noProof w:val="0"/>
      <w:lang w:val="en-US"/>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9F7080"/>
    <w:pPr>
      <w:tabs>
        <w:tab w:val="left" w:pos="709"/>
      </w:tabs>
    </w:pPr>
    <w:rPr>
      <w:rFonts w:ascii="Tahoma" w:hAnsi="Tahoma"/>
      <w:noProof w:val="0"/>
      <w:lang w:val="pl-PL" w:eastAsia="pl-PL"/>
    </w:rPr>
  </w:style>
  <w:style w:type="paragraph" w:customStyle="1" w:styleId="CharCharCharCharCharCharCharCharCharChar2">
    <w:name w:val="Char Char Char Char Char 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41">
    <w:name w:val="Знак Знак4"/>
    <w:basedOn w:val="Normal"/>
    <w:autoRedefine/>
    <w:uiPriority w:val="99"/>
    <w:qFormat/>
    <w:rsid w:val="009F7080"/>
    <w:rPr>
      <w:rFonts w:eastAsia="SimSun"/>
      <w:noProof w:val="0"/>
      <w:sz w:val="20"/>
      <w:szCs w:val="20"/>
      <w:lang w:val="en-US" w:eastAsia="ru-RU"/>
    </w:rPr>
  </w:style>
  <w:style w:type="paragraph" w:customStyle="1" w:styleId="Znak2">
    <w:name w:val="Znak2"/>
    <w:basedOn w:val="Normal"/>
    <w:uiPriority w:val="99"/>
    <w:qFormat/>
    <w:rsid w:val="009F7080"/>
    <w:pPr>
      <w:tabs>
        <w:tab w:val="left" w:pos="709"/>
      </w:tabs>
    </w:pPr>
    <w:rPr>
      <w:rFonts w:ascii="Tahoma" w:hAnsi="Tahoma"/>
      <w:noProof w:val="0"/>
      <w:lang w:val="pl-PL" w:eastAsia="pl-PL"/>
    </w:rPr>
  </w:style>
  <w:style w:type="paragraph" w:customStyle="1" w:styleId="CharCharCharCharChar21">
    <w:name w:val="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ZchnZchn12">
    <w:name w:val="Zchn Zchn12"/>
    <w:basedOn w:val="Normal"/>
    <w:uiPriority w:val="99"/>
    <w:qFormat/>
    <w:rsid w:val="009F7080"/>
    <w:pPr>
      <w:spacing w:after="160" w:line="240" w:lineRule="exact"/>
    </w:pPr>
    <w:rPr>
      <w:rFonts w:ascii="Verdana" w:hAnsi="Verdana"/>
      <w:noProof w:val="0"/>
      <w:sz w:val="20"/>
      <w:szCs w:val="20"/>
      <w:lang w:val="en-GB"/>
    </w:rPr>
  </w:style>
  <w:style w:type="paragraph" w:customStyle="1" w:styleId="Char12">
    <w:name w:val="Char1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3CharCharChar2">
    <w:name w:val="Char3 Char Char Char2"/>
    <w:basedOn w:val="Normal"/>
    <w:next w:val="Normal"/>
    <w:uiPriority w:val="99"/>
    <w:semiHidden/>
    <w:qFormat/>
    <w:rsid w:val="009F7080"/>
    <w:pPr>
      <w:spacing w:after="160" w:line="240" w:lineRule="exact"/>
    </w:pPr>
    <w:rPr>
      <w:rFonts w:ascii="Arial" w:hAnsi="Arial" w:cs="Arial"/>
      <w:noProof w:val="0"/>
      <w:sz w:val="20"/>
      <w:szCs w:val="20"/>
      <w:lang w:val="en-GB"/>
    </w:rPr>
  </w:style>
  <w:style w:type="paragraph" w:customStyle="1" w:styleId="CharChar1CharCharChar1Char2">
    <w:name w:val="Char Char1 Char Char Char1 Char2"/>
    <w:basedOn w:val="Normal"/>
    <w:autoRedefine/>
    <w:uiPriority w:val="99"/>
    <w:qFormat/>
    <w:rsid w:val="009F7080"/>
    <w:rPr>
      <w:rFonts w:eastAsia="SimSun"/>
      <w:noProof w:val="0"/>
      <w:sz w:val="20"/>
      <w:szCs w:val="20"/>
      <w:lang w:val="en-US" w:eastAsia="ru-RU"/>
    </w:rPr>
  </w:style>
  <w:style w:type="paragraph" w:customStyle="1" w:styleId="CharCharChar20">
    <w:name w:val="Char Char Char Знак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CharChar1CharCharCharCharCharCharCharCharChar1Char2">
    <w:name w:val="Char Char Char1 Char Char Char Char Char Char Char Char Char1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120">
    <w:name w:val="Знак Знак12"/>
    <w:basedOn w:val="Normal"/>
    <w:uiPriority w:val="99"/>
    <w:qFormat/>
    <w:rsid w:val="009F7080"/>
    <w:pPr>
      <w:spacing w:after="160" w:line="240" w:lineRule="exact"/>
    </w:pPr>
    <w:rPr>
      <w:rFonts w:ascii="Arial" w:hAnsi="Arial" w:cs="Arial"/>
      <w:noProof w:val="0"/>
      <w:sz w:val="20"/>
      <w:szCs w:val="20"/>
      <w:lang w:val="en-US"/>
    </w:rPr>
  </w:style>
  <w:style w:type="paragraph" w:customStyle="1" w:styleId="BodyText12">
    <w:name w:val="Body Text12"/>
    <w:basedOn w:val="Default"/>
    <w:next w:val="Default"/>
    <w:uiPriority w:val="99"/>
    <w:qFormat/>
    <w:rsid w:val="009F7080"/>
    <w:rPr>
      <w:rFonts w:ascii="Sylfaen" w:hAnsi="Sylfaen"/>
      <w:color w:val="auto"/>
    </w:rPr>
  </w:style>
  <w:style w:type="paragraph" w:customStyle="1" w:styleId="220">
    <w:name w:val="Знак Знак2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21">
    <w:name w:val="Char Char Char Знак Знак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CharChar22">
    <w:name w:val="Char Char Char Char Char Знак Знак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62">
    <w:name w:val="Char Char62"/>
    <w:uiPriority w:val="99"/>
    <w:rsid w:val="009F7080"/>
    <w:rPr>
      <w:rFonts w:ascii="Times Armenian" w:hAnsi="Times Armenian"/>
      <w:b/>
      <w:i/>
      <w:noProof/>
      <w:sz w:val="26"/>
      <w:u w:val="single"/>
      <w:lang w:val="hy-AM" w:eastAsia="en-US"/>
    </w:rPr>
  </w:style>
  <w:style w:type="character" w:customStyle="1" w:styleId="CharChar52">
    <w:name w:val="Char Char52"/>
    <w:uiPriority w:val="99"/>
    <w:rsid w:val="009F7080"/>
    <w:rPr>
      <w:rFonts w:ascii="Times Armenian" w:hAnsi="Times Armenian"/>
      <w:noProof/>
      <w:sz w:val="24"/>
      <w:lang w:val="hy-AM" w:eastAsia="en-US"/>
    </w:rPr>
  </w:style>
  <w:style w:type="character" w:customStyle="1" w:styleId="CharChar42">
    <w:name w:val="Char Char42"/>
    <w:uiPriority w:val="99"/>
    <w:rsid w:val="009F7080"/>
    <w:rPr>
      <w:noProof/>
      <w:lang w:val="hy-AM" w:eastAsia="en-US"/>
    </w:rPr>
  </w:style>
  <w:style w:type="paragraph" w:customStyle="1" w:styleId="CharCharCharChar2">
    <w:name w:val="Char Char Char Char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181">
    <w:name w:val="Char Char181"/>
    <w:uiPriority w:val="99"/>
    <w:rsid w:val="009F7080"/>
    <w:rPr>
      <w:rFonts w:ascii="Times Armenian" w:hAnsi="Times Armenian"/>
      <w:b/>
      <w:i/>
      <w:noProof/>
      <w:sz w:val="20"/>
      <w:lang w:val="hy-AM"/>
    </w:rPr>
  </w:style>
  <w:style w:type="character" w:customStyle="1" w:styleId="CharChar131">
    <w:name w:val="Char Char131"/>
    <w:uiPriority w:val="99"/>
    <w:semiHidden/>
    <w:rsid w:val="009F7080"/>
    <w:rPr>
      <w:rFonts w:ascii="Times New Roman" w:hAnsi="Times New Roman"/>
      <w:noProof/>
      <w:sz w:val="20"/>
      <w:lang w:val="hy-AM"/>
    </w:rPr>
  </w:style>
  <w:style w:type="character" w:customStyle="1" w:styleId="CharChar121">
    <w:name w:val="Char Char121"/>
    <w:uiPriority w:val="99"/>
    <w:semiHidden/>
    <w:locked/>
    <w:rsid w:val="009F7080"/>
    <w:rPr>
      <w:rFonts w:ascii="Times New Roman" w:hAnsi="Times New Roman"/>
      <w:noProof/>
      <w:sz w:val="24"/>
      <w:lang w:val="hy-AM"/>
    </w:rPr>
  </w:style>
  <w:style w:type="character" w:customStyle="1" w:styleId="CharChar231">
    <w:name w:val="Char Char231"/>
    <w:uiPriority w:val="99"/>
    <w:rsid w:val="009F7080"/>
    <w:rPr>
      <w:rFonts w:ascii="Times Armenian" w:hAnsi="Times Armenian"/>
      <w:noProof/>
      <w:sz w:val="24"/>
      <w:u w:val="single"/>
      <w:lang w:val="hy-AM"/>
    </w:rPr>
  </w:style>
  <w:style w:type="character" w:customStyle="1" w:styleId="CharChar241">
    <w:name w:val="Char Char241"/>
    <w:uiPriority w:val="99"/>
    <w:locked/>
    <w:rsid w:val="009F7080"/>
    <w:rPr>
      <w:rFonts w:ascii="Times Armenian" w:hAnsi="Times Armenian"/>
      <w:b/>
      <w:i/>
      <w:noProof/>
      <w:sz w:val="20"/>
      <w:lang w:val="hy-AM"/>
    </w:rPr>
  </w:style>
  <w:style w:type="paragraph" w:customStyle="1" w:styleId="Bullet2">
    <w:name w:val="Bullet 2"/>
    <w:basedOn w:val="Normal"/>
    <w:autoRedefine/>
    <w:uiPriority w:val="99"/>
    <w:qFormat/>
    <w:rsid w:val="004F06F2"/>
    <w:pPr>
      <w:widowControl w:val="0"/>
      <w:tabs>
        <w:tab w:val="left" w:pos="851"/>
        <w:tab w:val="left" w:pos="993"/>
      </w:tabs>
      <w:suppressAutoHyphens/>
      <w:ind w:left="720"/>
      <w:contextualSpacing/>
      <w:jc w:val="both"/>
    </w:pPr>
    <w:rPr>
      <w:rFonts w:ascii="GHEA Grapalat" w:hAnsi="GHEA Grapalat" w:cs="Sylfaen"/>
      <w:noProof w:val="0"/>
      <w:kern w:val="1"/>
      <w:lang w:eastAsia="ru-RU"/>
    </w:rPr>
  </w:style>
  <w:style w:type="paragraph" w:styleId="NormalIndent">
    <w:name w:val="Normal Indent"/>
    <w:aliases w:val="Normal Indent Char"/>
    <w:basedOn w:val="Normal"/>
    <w:uiPriority w:val="99"/>
    <w:qFormat/>
    <w:rsid w:val="00330B24"/>
    <w:pPr>
      <w:spacing w:after="180"/>
      <w:ind w:left="709"/>
      <w:jc w:val="both"/>
    </w:pPr>
    <w:rPr>
      <w:noProof w:val="0"/>
      <w:lang w:val="en-GB"/>
    </w:rPr>
  </w:style>
  <w:style w:type="character" w:customStyle="1" w:styleId="longtext">
    <w:name w:val="long_text"/>
    <w:uiPriority w:val="99"/>
    <w:rsid w:val="00330B24"/>
  </w:style>
  <w:style w:type="paragraph" w:customStyle="1" w:styleId="hodvats">
    <w:name w:val="hodvats"/>
    <w:basedOn w:val="Normal"/>
    <w:uiPriority w:val="99"/>
    <w:qFormat/>
    <w:rsid w:val="00330B24"/>
    <w:pPr>
      <w:tabs>
        <w:tab w:val="left" w:pos="993"/>
        <w:tab w:val="left" w:pos="1985"/>
      </w:tabs>
      <w:spacing w:before="113" w:after="57" w:line="220" w:lineRule="exact"/>
      <w:ind w:firstLine="397"/>
      <w:jc w:val="both"/>
    </w:pPr>
    <w:rPr>
      <w:rFonts w:ascii="Dallak Helv" w:hAnsi="Dallak Helv"/>
      <w:b/>
      <w:sz w:val="18"/>
      <w:szCs w:val="20"/>
      <w:lang w:val="en-US"/>
    </w:rPr>
  </w:style>
  <w:style w:type="paragraph" w:customStyle="1" w:styleId="p14">
    <w:name w:val="p14"/>
    <w:basedOn w:val="Normal"/>
    <w:uiPriority w:val="99"/>
    <w:qFormat/>
    <w:rsid w:val="00330B24"/>
    <w:pPr>
      <w:spacing w:before="100" w:beforeAutospacing="1" w:after="100" w:afterAutospacing="1"/>
    </w:pPr>
    <w:rPr>
      <w:noProof w:val="0"/>
      <w:lang w:val="en-US"/>
    </w:rPr>
  </w:style>
  <w:style w:type="paragraph" w:customStyle="1" w:styleId="paragraph">
    <w:name w:val="paragraph"/>
    <w:basedOn w:val="Normal"/>
    <w:uiPriority w:val="99"/>
    <w:qFormat/>
    <w:rsid w:val="00330B24"/>
    <w:pPr>
      <w:spacing w:before="100" w:beforeAutospacing="1" w:after="100" w:afterAutospacing="1"/>
    </w:pPr>
    <w:rPr>
      <w:noProof w:val="0"/>
      <w:lang w:val="en-US"/>
    </w:rPr>
  </w:style>
  <w:style w:type="character" w:customStyle="1" w:styleId="normaltextrun">
    <w:name w:val="normaltextrun"/>
    <w:uiPriority w:val="99"/>
    <w:rsid w:val="00330B24"/>
  </w:style>
  <w:style w:type="character" w:customStyle="1" w:styleId="eop">
    <w:name w:val="eop"/>
    <w:uiPriority w:val="99"/>
    <w:rsid w:val="00330B24"/>
  </w:style>
  <w:style w:type="character" w:customStyle="1" w:styleId="FontStyle29">
    <w:name w:val="Font Style29"/>
    <w:uiPriority w:val="99"/>
    <w:rsid w:val="00330B24"/>
    <w:rPr>
      <w:rFonts w:ascii="Tahoma" w:hAnsi="Tahoma"/>
      <w:color w:val="000000"/>
      <w:sz w:val="16"/>
    </w:rPr>
  </w:style>
  <w:style w:type="character" w:customStyle="1" w:styleId="accent">
    <w:name w:val="accent"/>
    <w:uiPriority w:val="99"/>
    <w:rsid w:val="00486832"/>
  </w:style>
  <w:style w:type="character" w:customStyle="1" w:styleId="null">
    <w:name w:val="null"/>
    <w:uiPriority w:val="99"/>
    <w:rsid w:val="00486832"/>
  </w:style>
  <w:style w:type="character" w:customStyle="1" w:styleId="a9">
    <w:name w:val="_"/>
    <w:uiPriority w:val="99"/>
    <w:rsid w:val="00486832"/>
  </w:style>
  <w:style w:type="character" w:customStyle="1" w:styleId="FontStyle19">
    <w:name w:val="Font Style19"/>
    <w:uiPriority w:val="99"/>
    <w:rsid w:val="00A53260"/>
    <w:rPr>
      <w:rFonts w:ascii="Tahoma" w:hAnsi="Tahoma"/>
      <w:sz w:val="20"/>
    </w:rPr>
  </w:style>
  <w:style w:type="character" w:customStyle="1" w:styleId="FontStyle22">
    <w:name w:val="Font Style22"/>
    <w:uiPriority w:val="99"/>
    <w:rsid w:val="00A53260"/>
    <w:rPr>
      <w:rFonts w:ascii="Tahoma" w:hAnsi="Tahoma"/>
      <w:sz w:val="20"/>
    </w:rPr>
  </w:style>
  <w:style w:type="paragraph" w:customStyle="1" w:styleId="100">
    <w:name w:val="Основной текст10"/>
    <w:basedOn w:val="Normal"/>
    <w:uiPriority w:val="99"/>
    <w:qFormat/>
    <w:rsid w:val="00F51F73"/>
    <w:pPr>
      <w:shd w:val="clear" w:color="auto" w:fill="FFFFFF"/>
      <w:spacing w:before="420" w:line="470" w:lineRule="exact"/>
      <w:jc w:val="both"/>
    </w:pPr>
    <w:rPr>
      <w:rFonts w:ascii="Sylfaen" w:hAnsi="Sylfaen" w:cs="Sylfaen"/>
      <w:noProof w:val="0"/>
      <w:sz w:val="22"/>
      <w:szCs w:val="22"/>
      <w:lang w:val="en-US"/>
    </w:rPr>
  </w:style>
  <w:style w:type="character" w:customStyle="1" w:styleId="34">
    <w:name w:val="Основной текст3"/>
    <w:uiPriority w:val="99"/>
    <w:rsid w:val="00F51F73"/>
    <w:rPr>
      <w:rFonts w:ascii="Sylfaen" w:hAnsi="Sylfaen"/>
      <w:sz w:val="19"/>
      <w:shd w:val="clear" w:color="auto" w:fill="FFFFFF"/>
    </w:rPr>
  </w:style>
  <w:style w:type="character" w:customStyle="1" w:styleId="1pt">
    <w:name w:val="Основной текст + Интервал 1 pt"/>
    <w:uiPriority w:val="99"/>
    <w:rsid w:val="00F51F73"/>
    <w:rPr>
      <w:rFonts w:ascii="Sylfaen" w:hAnsi="Sylfaen"/>
      <w:spacing w:val="30"/>
      <w:sz w:val="19"/>
      <w:shd w:val="clear" w:color="auto" w:fill="FFFFFF"/>
    </w:rPr>
  </w:style>
  <w:style w:type="character" w:customStyle="1" w:styleId="42">
    <w:name w:val="Основной текст4"/>
    <w:uiPriority w:val="99"/>
    <w:rsid w:val="00F51F73"/>
    <w:rPr>
      <w:rFonts w:ascii="Sylfaen" w:hAnsi="Sylfaen"/>
      <w:sz w:val="19"/>
      <w:shd w:val="clear" w:color="auto" w:fill="FFFFFF"/>
    </w:rPr>
  </w:style>
  <w:style w:type="character" w:customStyle="1" w:styleId="m-5230213193050876883s1">
    <w:name w:val="m_-5230213193050876883s1"/>
    <w:uiPriority w:val="99"/>
    <w:rsid w:val="00F51F73"/>
  </w:style>
  <w:style w:type="paragraph" w:customStyle="1" w:styleId="m-5230213193050876883p1">
    <w:name w:val="m_-5230213193050876883p1"/>
    <w:basedOn w:val="Normal"/>
    <w:uiPriority w:val="99"/>
    <w:qFormat/>
    <w:rsid w:val="00F51F73"/>
    <w:pPr>
      <w:spacing w:before="100" w:beforeAutospacing="1" w:after="100" w:afterAutospacing="1"/>
    </w:pPr>
    <w:rPr>
      <w:noProof w:val="0"/>
      <w:lang w:val="ru-RU" w:eastAsia="ru-RU"/>
    </w:rPr>
  </w:style>
  <w:style w:type="character" w:customStyle="1" w:styleId="BodyText30">
    <w:name w:val="Body Text3"/>
    <w:uiPriority w:val="99"/>
    <w:rsid w:val="00F51F73"/>
    <w:rPr>
      <w:rFonts w:ascii="Tahoma" w:hAnsi="Tahoma"/>
      <w:color w:val="000000"/>
      <w:spacing w:val="0"/>
      <w:w w:val="100"/>
      <w:position w:val="0"/>
      <w:sz w:val="17"/>
      <w:shd w:val="clear" w:color="auto" w:fill="FFFFFF"/>
      <w:lang w:val="hy-AM"/>
    </w:rPr>
  </w:style>
  <w:style w:type="character" w:customStyle="1" w:styleId="Bodytext7">
    <w:name w:val="Body text (7)"/>
    <w:uiPriority w:val="99"/>
    <w:rsid w:val="00F51F73"/>
    <w:rPr>
      <w:rFonts w:ascii="Tahoma" w:hAnsi="Tahoma"/>
      <w:b/>
      <w:color w:val="000000"/>
      <w:spacing w:val="0"/>
      <w:w w:val="100"/>
      <w:position w:val="0"/>
      <w:sz w:val="18"/>
      <w:u w:val="none"/>
      <w:effect w:val="none"/>
      <w:lang w:val="hy-AM"/>
    </w:rPr>
  </w:style>
  <w:style w:type="character" w:customStyle="1" w:styleId="Bodytext213pt">
    <w:name w:val="Body text (2) + 13 pt"/>
    <w:uiPriority w:val="99"/>
    <w:rsid w:val="00F51F73"/>
    <w:rPr>
      <w:rFonts w:ascii="Sylfaen" w:hAnsi="Sylfaen"/>
      <w:spacing w:val="20"/>
      <w:sz w:val="26"/>
      <w:u w:val="none"/>
      <w:shd w:val="clear" w:color="auto" w:fill="FFFFFF"/>
    </w:rPr>
  </w:style>
  <w:style w:type="paragraph" w:customStyle="1" w:styleId="WW-Default">
    <w:name w:val="WW-Default"/>
    <w:uiPriority w:val="99"/>
    <w:qFormat/>
    <w:rsid w:val="00F51F73"/>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F51F73"/>
  </w:style>
  <w:style w:type="character" w:customStyle="1" w:styleId="stbubblehcount">
    <w:name w:val="stbubble_hcount"/>
    <w:uiPriority w:val="99"/>
    <w:rsid w:val="00F51F73"/>
  </w:style>
  <w:style w:type="character" w:customStyle="1" w:styleId="chicklets">
    <w:name w:val="chicklets"/>
    <w:uiPriority w:val="99"/>
    <w:rsid w:val="00F51F73"/>
  </w:style>
  <w:style w:type="paragraph" w:customStyle="1" w:styleId="p1">
    <w:name w:val="p1"/>
    <w:basedOn w:val="Normal"/>
    <w:uiPriority w:val="99"/>
    <w:qFormat/>
    <w:rsid w:val="00F51F73"/>
    <w:pPr>
      <w:spacing w:before="100" w:beforeAutospacing="1" w:after="100" w:afterAutospacing="1"/>
    </w:pPr>
    <w:rPr>
      <w:noProof w:val="0"/>
      <w:lang w:val="en-US"/>
    </w:rPr>
  </w:style>
  <w:style w:type="character" w:customStyle="1" w:styleId="s1">
    <w:name w:val="s1"/>
    <w:uiPriority w:val="99"/>
    <w:rsid w:val="00F51F73"/>
  </w:style>
  <w:style w:type="paragraph" w:customStyle="1" w:styleId="pers-title">
    <w:name w:val="pers-title"/>
    <w:basedOn w:val="Normal"/>
    <w:uiPriority w:val="99"/>
    <w:qFormat/>
    <w:rsid w:val="00F51F73"/>
    <w:pPr>
      <w:spacing w:before="100" w:beforeAutospacing="1" w:after="100" w:afterAutospacing="1"/>
    </w:pPr>
    <w:rPr>
      <w:noProof w:val="0"/>
      <w:lang w:val="en-US"/>
    </w:rPr>
  </w:style>
  <w:style w:type="paragraph" w:customStyle="1" w:styleId="intro">
    <w:name w:val="intro"/>
    <w:basedOn w:val="Normal"/>
    <w:uiPriority w:val="99"/>
    <w:qFormat/>
    <w:rsid w:val="00F51F73"/>
    <w:pPr>
      <w:spacing w:before="100" w:beforeAutospacing="1" w:after="100" w:afterAutospacing="1"/>
    </w:pPr>
    <w:rPr>
      <w:noProof w:val="0"/>
      <w:lang w:val="en-US"/>
    </w:rPr>
  </w:style>
  <w:style w:type="paragraph" w:customStyle="1" w:styleId="newstimeplace">
    <w:name w:val="news_time_place"/>
    <w:basedOn w:val="Normal"/>
    <w:uiPriority w:val="99"/>
    <w:qFormat/>
    <w:rsid w:val="00F51F73"/>
    <w:pPr>
      <w:spacing w:before="100" w:beforeAutospacing="1" w:after="100" w:afterAutospacing="1"/>
    </w:pPr>
    <w:rPr>
      <w:noProof w:val="0"/>
      <w:lang w:val="en-US"/>
    </w:rPr>
  </w:style>
  <w:style w:type="character" w:customStyle="1" w:styleId="Bodytext216pt1">
    <w:name w:val="Body text (2) + 16 pt1"/>
    <w:aliases w:val="Italic1,Spacing -1 pt1,Body text (4) + 6.5 pt"/>
    <w:uiPriority w:val="99"/>
    <w:rsid w:val="00F51F73"/>
    <w:rPr>
      <w:rFonts w:ascii="Arial Unicode MS" w:eastAsia="Arial Unicode MS" w:hAnsi="Sylfaen"/>
      <w:i/>
      <w:spacing w:val="-20"/>
      <w:sz w:val="32"/>
      <w:u w:val="none"/>
      <w:shd w:val="clear" w:color="auto" w:fill="FFFFFF"/>
    </w:rPr>
  </w:style>
  <w:style w:type="character" w:customStyle="1" w:styleId="Bodytext216pt">
    <w:name w:val="Body text (2) + 16 pt"/>
    <w:aliases w:val="Italic,Spacing -1 pt,Body text (3) + Not Bold,Body text (2) + 11.5 pt"/>
    <w:uiPriority w:val="99"/>
    <w:rsid w:val="00F51F73"/>
    <w:rPr>
      <w:rFonts w:ascii="Arial Unicode MS" w:eastAsia="Arial Unicode MS" w:hAnsi="Sylfaen"/>
      <w:i/>
      <w:color w:val="2949AD"/>
      <w:spacing w:val="-20"/>
      <w:sz w:val="32"/>
      <w:u w:val="none"/>
      <w:shd w:val="clear" w:color="auto" w:fill="FFFFFF"/>
    </w:rPr>
  </w:style>
  <w:style w:type="character" w:customStyle="1" w:styleId="Bodytext31">
    <w:name w:val="Body text (3)_"/>
    <w:link w:val="Bodytext32"/>
    <w:uiPriority w:val="99"/>
    <w:locked/>
    <w:rsid w:val="00F51F73"/>
    <w:rPr>
      <w:rFonts w:ascii="Arial Unicode MS" w:eastAsia="Arial Unicode MS"/>
      <w:b/>
      <w:sz w:val="32"/>
      <w:shd w:val="clear" w:color="auto" w:fill="FFFFFF"/>
    </w:rPr>
  </w:style>
  <w:style w:type="paragraph" w:customStyle="1" w:styleId="Bodytext32">
    <w:name w:val="Body text (3)"/>
    <w:basedOn w:val="Normal"/>
    <w:link w:val="Bodytext31"/>
    <w:uiPriority w:val="99"/>
    <w:qFormat/>
    <w:rsid w:val="00F51F73"/>
    <w:pPr>
      <w:widowControl w:val="0"/>
      <w:shd w:val="clear" w:color="auto" w:fill="FFFFFF"/>
      <w:spacing w:after="720" w:line="367" w:lineRule="exact"/>
      <w:jc w:val="center"/>
    </w:pPr>
    <w:rPr>
      <w:rFonts w:ascii="Arial Unicode MS" w:eastAsia="Arial Unicode MS"/>
      <w:b/>
      <w:noProof w:val="0"/>
      <w:sz w:val="32"/>
      <w:szCs w:val="20"/>
      <w:lang w:val="en-US"/>
    </w:rPr>
  </w:style>
  <w:style w:type="character" w:customStyle="1" w:styleId="Bodytext2105pt">
    <w:name w:val="Body text (2) + 10.5 pt"/>
    <w:aliases w:val="Small Caps,Spacing 0 pt2,Scaling 150%,Body text (2) + 10 pt,Body text (2) + 11 pt1"/>
    <w:uiPriority w:val="99"/>
    <w:rsid w:val="00F51F73"/>
    <w:rPr>
      <w:rFonts w:ascii="Arial Unicode MS" w:eastAsia="Arial Unicode MS" w:hAnsi="Sylfaen"/>
      <w:smallCaps/>
      <w:spacing w:val="-10"/>
      <w:w w:val="150"/>
      <w:sz w:val="21"/>
      <w:u w:val="none"/>
      <w:shd w:val="clear" w:color="auto" w:fill="FFFFFF"/>
    </w:rPr>
  </w:style>
  <w:style w:type="character" w:customStyle="1" w:styleId="Bodytext2105pt1">
    <w:name w:val="Body text (2) + 10.5 pt1"/>
    <w:aliases w:val="Spacing 0 pt1,Scaling 150%1"/>
    <w:uiPriority w:val="99"/>
    <w:rsid w:val="00F51F73"/>
    <w:rPr>
      <w:rFonts w:ascii="Arial Unicode MS" w:eastAsia="Arial Unicode MS" w:hAnsi="Sylfaen"/>
      <w:spacing w:val="-10"/>
      <w:w w:val="150"/>
      <w:sz w:val="21"/>
      <w:u w:val="none"/>
      <w:shd w:val="clear" w:color="auto" w:fill="FFFFFF"/>
    </w:rPr>
  </w:style>
  <w:style w:type="character" w:customStyle="1" w:styleId="Bodytext4">
    <w:name w:val="Body text (4)_"/>
    <w:link w:val="Bodytext40"/>
    <w:uiPriority w:val="99"/>
    <w:locked/>
    <w:rsid w:val="00F51F73"/>
    <w:rPr>
      <w:rFonts w:ascii="Arial Unicode MS" w:eastAsia="Arial Unicode MS"/>
      <w:i/>
      <w:spacing w:val="-20"/>
      <w:sz w:val="28"/>
      <w:shd w:val="clear" w:color="auto" w:fill="FFFFFF"/>
    </w:rPr>
  </w:style>
  <w:style w:type="paragraph" w:customStyle="1" w:styleId="Bodytext40">
    <w:name w:val="Body text (4)"/>
    <w:basedOn w:val="Normal"/>
    <w:link w:val="Bodytext4"/>
    <w:uiPriority w:val="99"/>
    <w:qFormat/>
    <w:rsid w:val="00F51F73"/>
    <w:pPr>
      <w:widowControl w:val="0"/>
      <w:shd w:val="clear" w:color="auto" w:fill="FFFFFF"/>
      <w:spacing w:before="480" w:after="360" w:line="370" w:lineRule="exact"/>
      <w:ind w:firstLine="84"/>
    </w:pPr>
    <w:rPr>
      <w:rFonts w:ascii="Arial Unicode MS" w:eastAsia="Arial Unicode MS"/>
      <w:i/>
      <w:noProof w:val="0"/>
      <w:spacing w:val="-20"/>
      <w:sz w:val="28"/>
      <w:szCs w:val="20"/>
      <w:lang w:val="en-US"/>
    </w:rPr>
  </w:style>
  <w:style w:type="character" w:customStyle="1" w:styleId="Bodytext4Bold">
    <w:name w:val="Body text (4) + Bold"/>
    <w:aliases w:val="Spacing 0 pt"/>
    <w:uiPriority w:val="99"/>
    <w:rsid w:val="00F51F73"/>
    <w:rPr>
      <w:rFonts w:ascii="Arial Unicode MS" w:eastAsia="Arial Unicode MS"/>
      <w:b/>
      <w:i/>
      <w:spacing w:val="-10"/>
      <w:sz w:val="28"/>
      <w:shd w:val="clear" w:color="auto" w:fill="FFFFFF"/>
    </w:rPr>
  </w:style>
  <w:style w:type="character" w:customStyle="1" w:styleId="Bodytext311pt">
    <w:name w:val="Body text (3) + 11 pt"/>
    <w:aliases w:val="Not Bold,Body text (3) + 4 pt,Scaling 120%"/>
    <w:uiPriority w:val="99"/>
    <w:rsid w:val="00F51F73"/>
    <w:rPr>
      <w:rFonts w:ascii="Arial Unicode MS" w:eastAsia="Arial Unicode MS"/>
      <w:b/>
      <w:sz w:val="22"/>
      <w:u w:val="none"/>
      <w:shd w:val="clear" w:color="auto" w:fill="FFFFFF"/>
    </w:rPr>
  </w:style>
  <w:style w:type="character" w:customStyle="1" w:styleId="Headerorfooter">
    <w:name w:val="Header or footer_"/>
    <w:link w:val="Headerorfooter1"/>
    <w:uiPriority w:val="99"/>
    <w:locked/>
    <w:rsid w:val="00F51F73"/>
    <w:rPr>
      <w:rFonts w:ascii="Arial Unicode MS" w:eastAsia="Arial Unicode MS"/>
      <w:sz w:val="24"/>
      <w:shd w:val="clear" w:color="auto" w:fill="FFFFFF"/>
    </w:rPr>
  </w:style>
  <w:style w:type="paragraph" w:customStyle="1" w:styleId="Headerorfooter1">
    <w:name w:val="Header or footer1"/>
    <w:basedOn w:val="Normal"/>
    <w:link w:val="Headerorfooter"/>
    <w:uiPriority w:val="99"/>
    <w:qFormat/>
    <w:rsid w:val="00F51F73"/>
    <w:pPr>
      <w:widowControl w:val="0"/>
      <w:shd w:val="clear" w:color="auto" w:fill="FFFFFF"/>
      <w:spacing w:line="240" w:lineRule="atLeast"/>
      <w:ind w:firstLine="77"/>
    </w:pPr>
    <w:rPr>
      <w:rFonts w:ascii="Arial Unicode MS" w:eastAsia="Arial Unicode MS"/>
      <w:noProof w:val="0"/>
      <w:szCs w:val="20"/>
      <w:lang w:val="en-US"/>
    </w:rPr>
  </w:style>
  <w:style w:type="character" w:customStyle="1" w:styleId="HeaderorfooterSylfaen">
    <w:name w:val="Header or footer + Sylfaen"/>
    <w:aliases w:val="13 pt,Scaling 66%"/>
    <w:uiPriority w:val="99"/>
    <w:rsid w:val="00F51F73"/>
    <w:rPr>
      <w:rFonts w:ascii="Sylfaen" w:eastAsia="Arial Unicode MS" w:hAnsi="Sylfaen"/>
      <w:w w:val="66"/>
      <w:sz w:val="26"/>
      <w:shd w:val="clear" w:color="auto" w:fill="FFFFFF"/>
    </w:rPr>
  </w:style>
  <w:style w:type="character" w:customStyle="1" w:styleId="Headerorfooter0">
    <w:name w:val="Header or footer"/>
    <w:uiPriority w:val="99"/>
    <w:rsid w:val="00F51F73"/>
  </w:style>
  <w:style w:type="character" w:customStyle="1" w:styleId="Bodytext2Spacing-1pt">
    <w:name w:val="Body text (2) + Spacing -1 pt"/>
    <w:uiPriority w:val="99"/>
    <w:rsid w:val="00F51F73"/>
    <w:rPr>
      <w:rFonts w:ascii="Arial Unicode MS" w:eastAsia="Arial Unicode MS" w:hAnsi="Sylfaen"/>
      <w:spacing w:val="-30"/>
      <w:sz w:val="30"/>
      <w:u w:val="none"/>
      <w:shd w:val="clear" w:color="auto" w:fill="FFFFFF"/>
    </w:rPr>
  </w:style>
  <w:style w:type="character" w:customStyle="1" w:styleId="Bodytext211pt">
    <w:name w:val="Body text (2) + 11 pt"/>
    <w:uiPriority w:val="99"/>
    <w:rsid w:val="00F51F73"/>
    <w:rPr>
      <w:rFonts w:ascii="Arial Unicode MS" w:eastAsia="Arial Unicode MS" w:hAnsi="Sylfaen"/>
      <w:spacing w:val="20"/>
      <w:sz w:val="22"/>
      <w:u w:val="none"/>
      <w:shd w:val="clear" w:color="auto" w:fill="FFFFFF"/>
    </w:rPr>
  </w:style>
  <w:style w:type="character" w:customStyle="1" w:styleId="Footnote2">
    <w:name w:val="Footnote (2)_"/>
    <w:link w:val="Footnote21"/>
    <w:uiPriority w:val="99"/>
    <w:locked/>
    <w:rsid w:val="00F51F73"/>
    <w:rPr>
      <w:rFonts w:ascii="Arial Unicode MS" w:eastAsia="Arial Unicode MS"/>
      <w:shd w:val="clear" w:color="auto" w:fill="FFFFFF"/>
    </w:rPr>
  </w:style>
  <w:style w:type="paragraph" w:customStyle="1" w:styleId="Footnote21">
    <w:name w:val="Footnote (2)1"/>
    <w:basedOn w:val="Normal"/>
    <w:link w:val="Footnote2"/>
    <w:uiPriority w:val="99"/>
    <w:qFormat/>
    <w:rsid w:val="00F51F73"/>
    <w:pPr>
      <w:widowControl w:val="0"/>
      <w:shd w:val="clear" w:color="auto" w:fill="FFFFFF"/>
      <w:spacing w:line="240" w:lineRule="atLeast"/>
      <w:ind w:firstLine="36"/>
      <w:jc w:val="both"/>
    </w:pPr>
    <w:rPr>
      <w:rFonts w:ascii="Arial Unicode MS" w:eastAsia="Arial Unicode MS"/>
      <w:noProof w:val="0"/>
      <w:sz w:val="20"/>
      <w:szCs w:val="20"/>
      <w:lang w:val="en-US"/>
    </w:rPr>
  </w:style>
  <w:style w:type="character" w:customStyle="1" w:styleId="Footnote20">
    <w:name w:val="Footnote (2)"/>
    <w:uiPriority w:val="99"/>
    <w:rsid w:val="00F51F73"/>
    <w:rPr>
      <w:rFonts w:ascii="Arial Unicode MS" w:eastAsia="Arial Unicode MS"/>
      <w:color w:val="78AAC6"/>
      <w:u w:val="single"/>
      <w:shd w:val="clear" w:color="auto" w:fill="FFFFFF"/>
    </w:rPr>
  </w:style>
  <w:style w:type="character" w:customStyle="1" w:styleId="Footnote22">
    <w:name w:val="Footnote (2)2"/>
    <w:uiPriority w:val="99"/>
    <w:rsid w:val="00F51F73"/>
    <w:rPr>
      <w:rFonts w:ascii="Arial Unicode MS" w:eastAsia="Arial Unicode MS"/>
      <w:color w:val="78AAC6"/>
      <w:shd w:val="clear" w:color="auto" w:fill="FFFFFF"/>
    </w:rPr>
  </w:style>
  <w:style w:type="character" w:customStyle="1" w:styleId="Bodytext34pt1">
    <w:name w:val="Body text (3) + 4 pt1"/>
    <w:aliases w:val="Not Bold1"/>
    <w:uiPriority w:val="99"/>
    <w:rsid w:val="00F51F73"/>
    <w:rPr>
      <w:rFonts w:ascii="Sylfaen" w:eastAsia="Arial Unicode MS" w:hAnsi="Sylfaen"/>
      <w:b/>
      <w:sz w:val="8"/>
      <w:u w:val="none"/>
      <w:shd w:val="clear" w:color="auto" w:fill="FFFFFF"/>
    </w:rPr>
  </w:style>
  <w:style w:type="paragraph" w:customStyle="1" w:styleId="Bodytext210">
    <w:name w:val="Body text (2)1"/>
    <w:basedOn w:val="Normal"/>
    <w:uiPriority w:val="99"/>
    <w:qFormat/>
    <w:rsid w:val="00F51F73"/>
    <w:pPr>
      <w:widowControl w:val="0"/>
      <w:shd w:val="clear" w:color="auto" w:fill="FFFFFF"/>
      <w:spacing w:line="446" w:lineRule="exact"/>
      <w:ind w:hanging="361"/>
    </w:pPr>
    <w:rPr>
      <w:rFonts w:ascii="Arial Unicode MS" w:eastAsia="Arial Unicode MS" w:cs="Arial Unicode MS"/>
      <w:noProof w:val="0"/>
      <w:sz w:val="30"/>
      <w:szCs w:val="30"/>
    </w:rPr>
  </w:style>
  <w:style w:type="character" w:customStyle="1" w:styleId="Bodytext23">
    <w:name w:val="Body text (2)3"/>
    <w:uiPriority w:val="99"/>
    <w:rsid w:val="00F51F73"/>
    <w:rPr>
      <w:rFonts w:ascii="Arial Unicode MS" w:eastAsia="Arial Unicode MS" w:hAnsi="Sylfaen"/>
      <w:color w:val="6B6B6B"/>
      <w:spacing w:val="20"/>
      <w:sz w:val="30"/>
      <w:u w:val="none"/>
      <w:shd w:val="clear" w:color="auto" w:fill="FFFFFF"/>
    </w:rPr>
  </w:style>
  <w:style w:type="character" w:customStyle="1" w:styleId="Bodytext220">
    <w:name w:val="Body text (2)2"/>
    <w:uiPriority w:val="99"/>
    <w:rsid w:val="00F51F73"/>
    <w:rPr>
      <w:rFonts w:ascii="Arial Unicode MS" w:eastAsia="Arial Unicode MS" w:hAnsi="Sylfaen"/>
      <w:color w:val="464646"/>
      <w:spacing w:val="20"/>
      <w:sz w:val="30"/>
      <w:u w:val="none"/>
      <w:shd w:val="clear" w:color="auto" w:fill="FFFFFF"/>
    </w:rPr>
  </w:style>
  <w:style w:type="character" w:customStyle="1" w:styleId="HTMLPreformattedChar1">
    <w:name w:val="HTML Preformatted Char1"/>
    <w:uiPriority w:val="99"/>
    <w:semiHidden/>
    <w:rsid w:val="00F51F73"/>
    <w:rPr>
      <w:rFonts w:ascii="Consolas" w:hAnsi="Consolas"/>
      <w:sz w:val="20"/>
    </w:rPr>
  </w:style>
  <w:style w:type="character" w:customStyle="1" w:styleId="FontStyle32">
    <w:name w:val="Font Style32"/>
    <w:uiPriority w:val="99"/>
    <w:rsid w:val="00F51F73"/>
    <w:rPr>
      <w:rFonts w:ascii="Tahoma" w:hAnsi="Tahoma"/>
      <w:sz w:val="20"/>
    </w:rPr>
  </w:style>
  <w:style w:type="character" w:customStyle="1" w:styleId="Bodytext42">
    <w:name w:val="Body text (4)2"/>
    <w:uiPriority w:val="99"/>
    <w:rsid w:val="00F51F73"/>
    <w:rPr>
      <w:rFonts w:ascii="Sylfaen" w:eastAsia="Arial Unicode MS" w:hAnsi="Sylfaen"/>
      <w:i/>
      <w:color w:val="43476D"/>
      <w:spacing w:val="20"/>
      <w:w w:val="80"/>
      <w:sz w:val="24"/>
      <w:u w:val="none"/>
      <w:shd w:val="clear" w:color="auto" w:fill="FFFFFF"/>
    </w:rPr>
  </w:style>
  <w:style w:type="paragraph" w:customStyle="1" w:styleId="Bodytext41">
    <w:name w:val="Body text (4)1"/>
    <w:basedOn w:val="Normal"/>
    <w:uiPriority w:val="99"/>
    <w:qFormat/>
    <w:rsid w:val="00F51F73"/>
    <w:pPr>
      <w:widowControl w:val="0"/>
      <w:shd w:val="clear" w:color="auto" w:fill="FFFFFF"/>
      <w:spacing w:line="641" w:lineRule="exact"/>
      <w:ind w:firstLine="37"/>
    </w:pPr>
    <w:rPr>
      <w:rFonts w:ascii="Sylfaen" w:hAnsi="Sylfaen" w:cs="Sylfaen"/>
      <w:noProof w:val="0"/>
      <w:spacing w:val="20"/>
      <w:w w:val="80"/>
    </w:rPr>
  </w:style>
  <w:style w:type="paragraph" w:customStyle="1" w:styleId="Body">
    <w:name w:val="Body"/>
    <w:uiPriority w:val="99"/>
    <w:qFormat/>
    <w:rsid w:val="00F51F7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Cambria" w:hAnsi="Cambria" w:cs="Cambria"/>
      <w:color w:val="000000"/>
      <w:sz w:val="24"/>
      <w:szCs w:val="24"/>
      <w:u w:color="000000"/>
    </w:rPr>
  </w:style>
  <w:style w:type="paragraph" w:styleId="Quote">
    <w:name w:val="Quote"/>
    <w:basedOn w:val="Normal"/>
    <w:next w:val="Normal"/>
    <w:link w:val="QuoteChar"/>
    <w:uiPriority w:val="99"/>
    <w:qFormat/>
    <w:rsid w:val="00F51F73"/>
    <w:pPr>
      <w:spacing w:before="200" w:line="276" w:lineRule="auto"/>
      <w:ind w:left="360" w:right="360"/>
    </w:pPr>
    <w:rPr>
      <w:rFonts w:ascii="Calibri" w:hAnsi="Calibri"/>
      <w:i/>
      <w:iCs/>
      <w:noProof w:val="0"/>
      <w:sz w:val="22"/>
      <w:szCs w:val="22"/>
      <w:lang w:val="en-US"/>
    </w:rPr>
  </w:style>
  <w:style w:type="character" w:customStyle="1" w:styleId="QuoteChar">
    <w:name w:val="Quote Char"/>
    <w:link w:val="Quote"/>
    <w:uiPriority w:val="99"/>
    <w:locked/>
    <w:rsid w:val="00F51F73"/>
    <w:rPr>
      <w:rFonts w:ascii="Calibri" w:hAnsi="Calibri" w:cs="Times New Roman"/>
      <w:i/>
      <w:sz w:val="22"/>
    </w:rPr>
  </w:style>
  <w:style w:type="character" w:styleId="SubtleEmphasis">
    <w:name w:val="Subtle Emphasis"/>
    <w:uiPriority w:val="99"/>
    <w:qFormat/>
    <w:rsid w:val="00F51F73"/>
    <w:rPr>
      <w:rFonts w:cs="Times New Roman"/>
      <w:i/>
    </w:rPr>
  </w:style>
  <w:style w:type="character" w:styleId="IntenseEmphasis">
    <w:name w:val="Intense Emphasis"/>
    <w:uiPriority w:val="99"/>
    <w:qFormat/>
    <w:rsid w:val="00F51F73"/>
    <w:rPr>
      <w:rFonts w:cs="Times New Roman"/>
      <w:b/>
    </w:rPr>
  </w:style>
  <w:style w:type="character" w:styleId="SubtleReference">
    <w:name w:val="Subtle Reference"/>
    <w:uiPriority w:val="99"/>
    <w:qFormat/>
    <w:rsid w:val="00F51F73"/>
    <w:rPr>
      <w:rFonts w:cs="Times New Roman"/>
      <w:smallCaps/>
    </w:rPr>
  </w:style>
  <w:style w:type="character" w:styleId="IntenseReference">
    <w:name w:val="Intense Reference"/>
    <w:uiPriority w:val="99"/>
    <w:qFormat/>
    <w:rsid w:val="00F51F73"/>
    <w:rPr>
      <w:rFonts w:cs="Times New Roman"/>
      <w:smallCaps/>
      <w:spacing w:val="5"/>
      <w:u w:val="single"/>
    </w:rPr>
  </w:style>
  <w:style w:type="character" w:styleId="BookTitle">
    <w:name w:val="Book Title"/>
    <w:uiPriority w:val="99"/>
    <w:qFormat/>
    <w:rsid w:val="00F51F73"/>
    <w:rPr>
      <w:rFonts w:cs="Times New Roman"/>
      <w:i/>
      <w:smallCaps/>
      <w:spacing w:val="5"/>
    </w:rPr>
  </w:style>
  <w:style w:type="character" w:customStyle="1" w:styleId="Normal1">
    <w:name w:val="Normal1"/>
    <w:uiPriority w:val="99"/>
    <w:rsid w:val="00F51F73"/>
    <w:rPr>
      <w:rFonts w:ascii="Arial" w:hAnsi="Arial"/>
      <w:sz w:val="24"/>
    </w:rPr>
  </w:style>
  <w:style w:type="table" w:styleId="MediumShading1-Accent5">
    <w:name w:val="Medium Shading 1 Accent 5"/>
    <w:basedOn w:val="TableNormal"/>
    <w:uiPriority w:val="99"/>
    <w:rsid w:val="00686972"/>
    <w:rPr>
      <w:rFonts w:ascii="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paragraph" w:customStyle="1" w:styleId="aa">
    <w:name w:val="Без интервала"/>
    <w:uiPriority w:val="99"/>
    <w:rsid w:val="00686972"/>
    <w:rPr>
      <w:rFonts w:ascii="Calibri" w:hAnsi="Calibri" w:cs="Calibri"/>
      <w:sz w:val="22"/>
      <w:szCs w:val="22"/>
    </w:rPr>
  </w:style>
  <w:style w:type="character" w:customStyle="1" w:styleId="spellingerror">
    <w:name w:val="spellingerror"/>
    <w:uiPriority w:val="99"/>
    <w:rsid w:val="00686972"/>
  </w:style>
  <w:style w:type="character" w:customStyle="1" w:styleId="s2">
    <w:name w:val="s2"/>
    <w:uiPriority w:val="99"/>
    <w:rsid w:val="00686972"/>
  </w:style>
  <w:style w:type="character" w:customStyle="1" w:styleId="s4">
    <w:name w:val="s4"/>
    <w:uiPriority w:val="99"/>
    <w:rsid w:val="00686972"/>
  </w:style>
  <w:style w:type="paragraph" w:customStyle="1" w:styleId="p12">
    <w:name w:val="p12"/>
    <w:basedOn w:val="Normal"/>
    <w:uiPriority w:val="99"/>
    <w:qFormat/>
    <w:rsid w:val="00686972"/>
    <w:pPr>
      <w:spacing w:before="100" w:beforeAutospacing="1" w:after="100" w:afterAutospacing="1"/>
    </w:pPr>
    <w:rPr>
      <w:noProof w:val="0"/>
      <w:lang w:val="en-US"/>
    </w:rPr>
  </w:style>
  <w:style w:type="paragraph" w:customStyle="1" w:styleId="ab">
    <w:name w:val="Основной текст"/>
    <w:basedOn w:val="Normal"/>
    <w:uiPriority w:val="99"/>
    <w:rsid w:val="00686972"/>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character" w:customStyle="1" w:styleId="0pt">
    <w:name w:val="Основной текст + Интервал 0 pt"/>
    <w:uiPriority w:val="99"/>
    <w:rsid w:val="00686972"/>
    <w:rPr>
      <w:rFonts w:ascii="Arial Unicode MS" w:eastAsia="Arial Unicode MS" w:hAnsi="Arial Unicode MS"/>
      <w:color w:val="000000"/>
      <w:spacing w:val="3"/>
      <w:w w:val="100"/>
      <w:position w:val="0"/>
      <w:sz w:val="26"/>
      <w:u w:val="none"/>
      <w:shd w:val="clear" w:color="auto" w:fill="FFFFFF"/>
      <w:lang w:val="hy-AM"/>
    </w:rPr>
  </w:style>
  <w:style w:type="character" w:customStyle="1" w:styleId="Impact115pt0pt">
    <w:name w:val="Основной текст + Impact.11.5 pt.Курсив.Интервал 0 pt"/>
    <w:uiPriority w:val="99"/>
    <w:rsid w:val="00686972"/>
    <w:rPr>
      <w:rFonts w:ascii="Impact" w:hAnsi="Impact"/>
      <w:i/>
      <w:color w:val="000000"/>
      <w:spacing w:val="0"/>
      <w:w w:val="100"/>
      <w:position w:val="0"/>
      <w:sz w:val="23"/>
      <w:u w:val="none"/>
      <w:shd w:val="clear" w:color="auto" w:fill="FFFFFF"/>
    </w:rPr>
  </w:style>
  <w:style w:type="character" w:customStyle="1" w:styleId="15pt0pt">
    <w:name w:val="Основной текст + 15 pt.Полужирный.Интервал 0 pt"/>
    <w:uiPriority w:val="99"/>
    <w:rsid w:val="00686972"/>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
    <w:name w:val="Основной текст + 11 pt.Полужирный.Интервал 0 pt"/>
    <w:uiPriority w:val="99"/>
    <w:rsid w:val="00686972"/>
    <w:rPr>
      <w:rFonts w:ascii="Arial Unicode MS" w:eastAsia="Arial Unicode MS" w:hAnsi="Arial Unicode MS"/>
      <w:b/>
      <w:color w:val="000000"/>
      <w:spacing w:val="7"/>
      <w:w w:val="100"/>
      <w:position w:val="0"/>
      <w:sz w:val="22"/>
      <w:u w:val="none"/>
      <w:shd w:val="clear" w:color="auto" w:fill="FFFFFF"/>
      <w:lang w:val="ru-RU"/>
    </w:rPr>
  </w:style>
  <w:style w:type="table" w:styleId="LightShading-Accent5">
    <w:name w:val="Light Shading Accent 5"/>
    <w:basedOn w:val="TableNormal"/>
    <w:uiPriority w:val="99"/>
    <w:rsid w:val="0068697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686972"/>
    <w:rPr>
      <w:rFonts w:ascii="Calibri" w:hAnsi="Calibri"/>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686972"/>
    <w:rPr>
      <w:rFonts w:ascii="Calibri" w:hAnsi="Calibri"/>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C4C74"/>
      </w:tcPr>
    </w:tblStylePr>
    <w:tblStylePr w:type="firstCol">
      <w:rPr>
        <w:rFonts w:cs="Times New Roman"/>
        <w:color w:val="FFFFFF"/>
      </w:rPr>
      <w:tblPr/>
      <w:tcPr>
        <w:tcBorders>
          <w:top w:val="nil"/>
          <w:left w:val="nil"/>
          <w:bottom w:val="nil"/>
          <w:right w:val="nil"/>
          <w:insideH w:val="single" w:sz="4" w:space="0" w:color="2C4C74"/>
          <w:insideV w:val="nil"/>
        </w:tcBorders>
        <w:shd w:val="clear" w:color="auto" w:fill="2C4C74"/>
      </w:tcPr>
    </w:tblStylePr>
    <w:tblStylePr w:type="lastCol">
      <w:rPr>
        <w:rFonts w:cs="Times New Roman"/>
        <w:color w:val="FFFFFF"/>
      </w:rPr>
      <w:tblPr/>
      <w:tcPr>
        <w:tcBorders>
          <w:top w:val="nil"/>
          <w:left w:val="nil"/>
          <w:bottom w:val="nil"/>
          <w:right w:val="nil"/>
          <w:insideH w:val="nil"/>
          <w:insideV w:val="nil"/>
        </w:tcBorders>
        <w:shd w:val="clear" w:color="auto" w:fill="2C4C74"/>
      </w:tcPr>
    </w:tblStylePr>
    <w:tblStylePr w:type="band1Vert">
      <w:rPr>
        <w:rFonts w:cs="Times New Roman"/>
      </w:rPr>
      <w:tblPr/>
      <w:tcPr>
        <w:shd w:val="clear" w:color="auto" w:fill="B8CCE4"/>
      </w:tcPr>
    </w:tblStylePr>
    <w:tblStylePr w:type="band1Horz">
      <w:rPr>
        <w:rFonts w:cs="Times New Roman"/>
      </w:rPr>
      <w:tblPr/>
      <w:tcPr>
        <w:shd w:val="clear" w:color="auto" w:fill="A7BFDE"/>
      </w:tcPr>
    </w:tblStylePr>
    <w:tblStylePr w:type="neCell">
      <w:rPr>
        <w:rFonts w:cs="Times New Roman"/>
        <w:color w:val="000000"/>
      </w:rPr>
    </w:tblStylePr>
    <w:tblStylePr w:type="nwCell">
      <w:rPr>
        <w:rFonts w:cs="Times New Roman"/>
        <w:color w:val="000000"/>
      </w:rPr>
    </w:tblStylePr>
  </w:style>
  <w:style w:type="table" w:customStyle="1" w:styleId="LightShading-Accent11">
    <w:name w:val="Light Shading - Accent 11"/>
    <w:uiPriority w:val="99"/>
    <w:rsid w:val="0068697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character" w:customStyle="1" w:styleId="27">
    <w:name w:val="Заголовок №2_"/>
    <w:link w:val="28"/>
    <w:uiPriority w:val="99"/>
    <w:locked/>
    <w:rsid w:val="00686972"/>
    <w:rPr>
      <w:rFonts w:ascii="Arial Unicode MS" w:eastAsia="Arial Unicode MS" w:hAnsi="Arial Unicode MS"/>
      <w:spacing w:val="3"/>
      <w:sz w:val="33"/>
      <w:shd w:val="clear" w:color="auto" w:fill="FFFFFF"/>
    </w:rPr>
  </w:style>
  <w:style w:type="paragraph" w:customStyle="1" w:styleId="28">
    <w:name w:val="Заголовок №2"/>
    <w:basedOn w:val="Normal"/>
    <w:link w:val="27"/>
    <w:uiPriority w:val="99"/>
    <w:qFormat/>
    <w:rsid w:val="00686972"/>
    <w:pPr>
      <w:widowControl w:val="0"/>
      <w:shd w:val="clear" w:color="auto" w:fill="FFFFFF"/>
      <w:spacing w:before="300" w:after="120" w:line="566" w:lineRule="exact"/>
      <w:jc w:val="both"/>
      <w:outlineLvl w:val="1"/>
    </w:pPr>
    <w:rPr>
      <w:rFonts w:ascii="Arial Unicode MS" w:eastAsia="Arial Unicode MS" w:hAnsi="Arial Unicode MS"/>
      <w:noProof w:val="0"/>
      <w:spacing w:val="3"/>
      <w:sz w:val="33"/>
      <w:szCs w:val="20"/>
      <w:lang w:val="en-US"/>
    </w:rPr>
  </w:style>
  <w:style w:type="paragraph" w:customStyle="1" w:styleId="CharCharCharCharCharCharCharCharCharChar3">
    <w:name w:val="Char Char Char Char Char 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78654B"/>
    <w:pPr>
      <w:tabs>
        <w:tab w:val="left" w:pos="709"/>
      </w:tabs>
    </w:pPr>
    <w:rPr>
      <w:rFonts w:ascii="Tahoma" w:hAnsi="Tahoma"/>
      <w:noProof w:val="0"/>
      <w:lang w:val="pl-PL" w:eastAsia="pl-PL"/>
    </w:rPr>
  </w:style>
  <w:style w:type="paragraph" w:customStyle="1" w:styleId="CharCharCharCharChar3">
    <w:name w:val="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ZchnZchn13">
    <w:name w:val="Zchn Zchn13"/>
    <w:basedOn w:val="Normal"/>
    <w:uiPriority w:val="99"/>
    <w:qFormat/>
    <w:rsid w:val="0078654B"/>
    <w:pPr>
      <w:spacing w:after="160" w:line="240" w:lineRule="exact"/>
    </w:pPr>
    <w:rPr>
      <w:rFonts w:ascii="Verdana" w:hAnsi="Verdana"/>
      <w:noProof w:val="0"/>
      <w:sz w:val="20"/>
      <w:szCs w:val="20"/>
      <w:lang w:val="en-GB"/>
    </w:rPr>
  </w:style>
  <w:style w:type="paragraph" w:customStyle="1" w:styleId="Znak3">
    <w:name w:val="Znak3"/>
    <w:basedOn w:val="Normal"/>
    <w:uiPriority w:val="99"/>
    <w:qFormat/>
    <w:rsid w:val="0078654B"/>
    <w:pPr>
      <w:tabs>
        <w:tab w:val="left" w:pos="709"/>
      </w:tabs>
    </w:pPr>
    <w:rPr>
      <w:rFonts w:ascii="Tahoma" w:hAnsi="Tahoma"/>
      <w:noProof w:val="0"/>
      <w:lang w:val="pl-PL" w:eastAsia="pl-PL"/>
    </w:rPr>
  </w:style>
  <w:style w:type="paragraph" w:customStyle="1" w:styleId="5">
    <w:name w:val="Знак Знак5"/>
    <w:basedOn w:val="Normal"/>
    <w:uiPriority w:val="99"/>
    <w:qFormat/>
    <w:rsid w:val="0078654B"/>
    <w:pPr>
      <w:spacing w:after="160" w:line="240" w:lineRule="exact"/>
    </w:pPr>
    <w:rPr>
      <w:rFonts w:ascii="Arial" w:hAnsi="Arial" w:cs="Arial"/>
      <w:noProof w:val="0"/>
      <w:sz w:val="20"/>
      <w:szCs w:val="20"/>
      <w:lang w:val="en-GB"/>
    </w:rPr>
  </w:style>
  <w:style w:type="paragraph" w:customStyle="1" w:styleId="Char13">
    <w:name w:val="Char1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3CharCharChar3">
    <w:name w:val="Char3 Char Char Char3"/>
    <w:basedOn w:val="Normal"/>
    <w:next w:val="Normal"/>
    <w:uiPriority w:val="99"/>
    <w:semiHidden/>
    <w:qFormat/>
    <w:rsid w:val="0078654B"/>
    <w:pPr>
      <w:spacing w:after="160" w:line="240" w:lineRule="exact"/>
    </w:pPr>
    <w:rPr>
      <w:rFonts w:ascii="Arial" w:hAnsi="Arial" w:cs="Arial"/>
      <w:noProof w:val="0"/>
      <w:sz w:val="20"/>
      <w:szCs w:val="20"/>
      <w:lang w:val="en-GB"/>
    </w:rPr>
  </w:style>
  <w:style w:type="paragraph" w:customStyle="1" w:styleId="CharChar1CharCharChar1Char3">
    <w:name w:val="Char Char1 Char Char Char1 Char3"/>
    <w:basedOn w:val="Normal"/>
    <w:autoRedefine/>
    <w:uiPriority w:val="99"/>
    <w:qFormat/>
    <w:rsid w:val="0078654B"/>
    <w:rPr>
      <w:rFonts w:eastAsia="SimSun"/>
      <w:noProof w:val="0"/>
      <w:sz w:val="20"/>
      <w:szCs w:val="20"/>
      <w:lang w:val="en-US" w:eastAsia="ru-RU"/>
    </w:rPr>
  </w:style>
  <w:style w:type="character" w:customStyle="1" w:styleId="Char7">
    <w:name w:val="Char7"/>
    <w:uiPriority w:val="99"/>
    <w:rsid w:val="0078654B"/>
    <w:rPr>
      <w:rFonts w:ascii="Times Armenian" w:hAnsi="Times Armenian"/>
      <w:sz w:val="22"/>
      <w:lang w:val="en-GB" w:eastAsia="en-US"/>
    </w:rPr>
  </w:style>
  <w:style w:type="paragraph" w:customStyle="1" w:styleId="CharCharChar3">
    <w:name w:val="Char Char Char Знак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CharChar1CharCharCharCharCharCharCharCharChar1Char3">
    <w:name w:val="Char Char Char1 Char Char Char Char Char Char Char Char Char1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130">
    <w:name w:val="Знак Знак13"/>
    <w:basedOn w:val="Normal"/>
    <w:uiPriority w:val="99"/>
    <w:qFormat/>
    <w:rsid w:val="0078654B"/>
    <w:pPr>
      <w:spacing w:after="160" w:line="240" w:lineRule="exact"/>
    </w:pPr>
    <w:rPr>
      <w:rFonts w:ascii="Arial" w:hAnsi="Arial" w:cs="Arial"/>
      <w:noProof w:val="0"/>
      <w:sz w:val="20"/>
      <w:szCs w:val="20"/>
      <w:lang w:val="en-US"/>
    </w:rPr>
  </w:style>
  <w:style w:type="paragraph" w:customStyle="1" w:styleId="BodyText24">
    <w:name w:val="Body Text2"/>
    <w:basedOn w:val="Default"/>
    <w:next w:val="Default"/>
    <w:uiPriority w:val="99"/>
    <w:qFormat/>
    <w:rsid w:val="0078654B"/>
    <w:rPr>
      <w:rFonts w:ascii="Sylfaen" w:hAnsi="Sylfaen"/>
      <w:color w:val="auto"/>
    </w:rPr>
  </w:style>
  <w:style w:type="paragraph" w:customStyle="1" w:styleId="230">
    <w:name w:val="Знак Знак2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30">
    <w:name w:val="Char Char Char Знак Знак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30">
    <w:name w:val="Char Char Char Char Char Знак Знак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63">
    <w:name w:val="Char Char63"/>
    <w:uiPriority w:val="99"/>
    <w:rsid w:val="0078654B"/>
    <w:rPr>
      <w:rFonts w:ascii="Times Armenian" w:hAnsi="Times Armenian"/>
      <w:b/>
      <w:i/>
      <w:noProof/>
      <w:sz w:val="26"/>
      <w:u w:val="single"/>
      <w:lang w:val="hy-AM" w:eastAsia="en-US"/>
    </w:rPr>
  </w:style>
  <w:style w:type="character" w:customStyle="1" w:styleId="CharChar53">
    <w:name w:val="Char Char53"/>
    <w:uiPriority w:val="99"/>
    <w:rsid w:val="0078654B"/>
    <w:rPr>
      <w:rFonts w:ascii="Times Armenian" w:hAnsi="Times Armenian"/>
      <w:noProof/>
      <w:sz w:val="24"/>
      <w:lang w:val="hy-AM" w:eastAsia="en-US"/>
    </w:rPr>
  </w:style>
  <w:style w:type="character" w:customStyle="1" w:styleId="CharChar43">
    <w:name w:val="Char Char43"/>
    <w:uiPriority w:val="99"/>
    <w:rsid w:val="0078654B"/>
    <w:rPr>
      <w:noProof/>
      <w:lang w:val="hy-AM" w:eastAsia="en-US"/>
    </w:rPr>
  </w:style>
  <w:style w:type="character" w:customStyle="1" w:styleId="CharChar182">
    <w:name w:val="Char Char182"/>
    <w:uiPriority w:val="99"/>
    <w:rsid w:val="0078654B"/>
    <w:rPr>
      <w:rFonts w:ascii="Times Armenian" w:hAnsi="Times Armenian"/>
      <w:b/>
      <w:i/>
      <w:noProof/>
      <w:sz w:val="20"/>
      <w:lang w:val="hy-AM"/>
    </w:rPr>
  </w:style>
  <w:style w:type="character" w:customStyle="1" w:styleId="CharChar132">
    <w:name w:val="Char Char132"/>
    <w:uiPriority w:val="99"/>
    <w:semiHidden/>
    <w:rsid w:val="0078654B"/>
    <w:rPr>
      <w:rFonts w:ascii="Times New Roman" w:hAnsi="Times New Roman"/>
      <w:noProof/>
      <w:sz w:val="20"/>
      <w:lang w:val="hy-AM"/>
    </w:rPr>
  </w:style>
  <w:style w:type="character" w:customStyle="1" w:styleId="CharChar122">
    <w:name w:val="Char Char122"/>
    <w:uiPriority w:val="99"/>
    <w:semiHidden/>
    <w:locked/>
    <w:rsid w:val="0078654B"/>
    <w:rPr>
      <w:rFonts w:ascii="Times New Roman" w:hAnsi="Times New Roman"/>
      <w:noProof/>
      <w:sz w:val="24"/>
      <w:lang w:val="hy-AM"/>
    </w:rPr>
  </w:style>
  <w:style w:type="paragraph" w:customStyle="1" w:styleId="CharCharCharChar3">
    <w:name w:val="Char Char Char Char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232">
    <w:name w:val="Char Char232"/>
    <w:uiPriority w:val="99"/>
    <w:rsid w:val="0078654B"/>
    <w:rPr>
      <w:rFonts w:ascii="Times Armenian" w:hAnsi="Times Armenian"/>
      <w:noProof/>
      <w:sz w:val="24"/>
      <w:u w:val="single"/>
      <w:lang w:val="hy-AM"/>
    </w:rPr>
  </w:style>
  <w:style w:type="character" w:customStyle="1" w:styleId="CharChar242">
    <w:name w:val="Char Char242"/>
    <w:uiPriority w:val="99"/>
    <w:locked/>
    <w:rsid w:val="0078654B"/>
    <w:rPr>
      <w:rFonts w:ascii="Times Armenian" w:hAnsi="Times Armenian"/>
      <w:b/>
      <w:i/>
      <w:noProof/>
      <w:sz w:val="20"/>
      <w:lang w:val="hy-AM"/>
    </w:rPr>
  </w:style>
  <w:style w:type="paragraph" w:customStyle="1" w:styleId="CharCharCharCharCharCharCharCharCharChar7">
    <w:name w:val="Char Char Char Char Char 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702996"/>
    <w:pPr>
      <w:tabs>
        <w:tab w:val="left" w:pos="709"/>
      </w:tabs>
    </w:pPr>
    <w:rPr>
      <w:rFonts w:ascii="Tahoma" w:hAnsi="Tahoma"/>
      <w:noProof w:val="0"/>
      <w:lang w:val="pl-PL" w:eastAsia="pl-PL"/>
    </w:rPr>
  </w:style>
  <w:style w:type="paragraph" w:customStyle="1" w:styleId="CharCharCharCharChar7">
    <w:name w:val="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ZchnZchn17">
    <w:name w:val="Zchn Zchn17"/>
    <w:basedOn w:val="Normal"/>
    <w:uiPriority w:val="99"/>
    <w:qFormat/>
    <w:rsid w:val="00702996"/>
    <w:pPr>
      <w:spacing w:after="160" w:line="240" w:lineRule="exact"/>
    </w:pPr>
    <w:rPr>
      <w:rFonts w:ascii="Verdana" w:hAnsi="Verdana"/>
      <w:noProof w:val="0"/>
      <w:sz w:val="20"/>
      <w:szCs w:val="20"/>
      <w:lang w:val="en-GB"/>
    </w:rPr>
  </w:style>
  <w:style w:type="paragraph" w:customStyle="1" w:styleId="Znak7">
    <w:name w:val="Znak7"/>
    <w:basedOn w:val="Normal"/>
    <w:uiPriority w:val="99"/>
    <w:qFormat/>
    <w:rsid w:val="00702996"/>
    <w:pPr>
      <w:tabs>
        <w:tab w:val="left" w:pos="709"/>
      </w:tabs>
    </w:pPr>
    <w:rPr>
      <w:rFonts w:ascii="Tahoma" w:hAnsi="Tahoma"/>
      <w:noProof w:val="0"/>
      <w:lang w:val="pl-PL" w:eastAsia="pl-PL"/>
    </w:rPr>
  </w:style>
  <w:style w:type="paragraph" w:customStyle="1" w:styleId="9">
    <w:name w:val="Знак Знак9"/>
    <w:basedOn w:val="Normal"/>
    <w:uiPriority w:val="99"/>
    <w:qFormat/>
    <w:rsid w:val="00702996"/>
    <w:pPr>
      <w:spacing w:after="160" w:line="240" w:lineRule="exact"/>
    </w:pPr>
    <w:rPr>
      <w:rFonts w:ascii="Arial" w:hAnsi="Arial" w:cs="Arial"/>
      <w:noProof w:val="0"/>
      <w:sz w:val="20"/>
      <w:szCs w:val="20"/>
      <w:lang w:val="en-GB"/>
    </w:rPr>
  </w:style>
  <w:style w:type="paragraph" w:customStyle="1" w:styleId="Char18">
    <w:name w:val="Char18"/>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3CharCharChar7">
    <w:name w:val="Char3 Char Char Char7"/>
    <w:basedOn w:val="Normal"/>
    <w:next w:val="Normal"/>
    <w:uiPriority w:val="99"/>
    <w:semiHidden/>
    <w:qFormat/>
    <w:rsid w:val="00702996"/>
    <w:pPr>
      <w:spacing w:after="160" w:line="240" w:lineRule="exact"/>
    </w:pPr>
    <w:rPr>
      <w:rFonts w:ascii="Arial" w:hAnsi="Arial" w:cs="Arial"/>
      <w:noProof w:val="0"/>
      <w:sz w:val="20"/>
      <w:szCs w:val="20"/>
      <w:lang w:val="en-GB"/>
    </w:rPr>
  </w:style>
  <w:style w:type="paragraph" w:customStyle="1" w:styleId="CharChar1CharCharChar1Char7">
    <w:name w:val="Char Char1 Char Char Char1 Char7"/>
    <w:basedOn w:val="Normal"/>
    <w:autoRedefine/>
    <w:uiPriority w:val="99"/>
    <w:qFormat/>
    <w:rsid w:val="00702996"/>
    <w:rPr>
      <w:rFonts w:eastAsia="SimSun"/>
      <w:noProof w:val="0"/>
      <w:sz w:val="20"/>
      <w:szCs w:val="20"/>
      <w:lang w:val="en-US" w:eastAsia="ru-RU"/>
    </w:rPr>
  </w:style>
  <w:style w:type="character" w:customStyle="1" w:styleId="Char17">
    <w:name w:val="Char17"/>
    <w:uiPriority w:val="99"/>
    <w:rsid w:val="00702996"/>
    <w:rPr>
      <w:rFonts w:ascii="Times Armenian" w:hAnsi="Times Armenian"/>
      <w:sz w:val="22"/>
      <w:lang w:val="en-GB" w:eastAsia="en-US"/>
    </w:rPr>
  </w:style>
  <w:style w:type="paragraph" w:customStyle="1" w:styleId="CharCharChar7">
    <w:name w:val="Char Char Char Знак7"/>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CharChar1CharCharCharCharCharCharCharCharChar1Char7">
    <w:name w:val="Char Char Char1 Char Char Char Char Char Char Char Char Char1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170">
    <w:name w:val="Знак Знак17"/>
    <w:basedOn w:val="Normal"/>
    <w:uiPriority w:val="99"/>
    <w:qFormat/>
    <w:rsid w:val="00702996"/>
    <w:pPr>
      <w:spacing w:after="160" w:line="240" w:lineRule="exact"/>
    </w:pPr>
    <w:rPr>
      <w:rFonts w:ascii="Arial" w:hAnsi="Arial" w:cs="Arial"/>
      <w:noProof w:val="0"/>
      <w:sz w:val="20"/>
      <w:szCs w:val="20"/>
      <w:lang w:val="en-US"/>
    </w:rPr>
  </w:style>
  <w:style w:type="paragraph" w:customStyle="1" w:styleId="BodyText43">
    <w:name w:val="Body Text4"/>
    <w:basedOn w:val="Default"/>
    <w:next w:val="Default"/>
    <w:uiPriority w:val="99"/>
    <w:qFormat/>
    <w:rsid w:val="00702996"/>
    <w:rPr>
      <w:rFonts w:ascii="Sylfaen" w:hAnsi="Sylfaen"/>
      <w:color w:val="auto"/>
    </w:rPr>
  </w:style>
  <w:style w:type="paragraph" w:customStyle="1" w:styleId="270">
    <w:name w:val="Знак Знак2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70">
    <w:name w:val="Char Char Char Знак Знак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70">
    <w:name w:val="Char Char Char Char Char Знак Знак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67">
    <w:name w:val="Char Char67"/>
    <w:uiPriority w:val="99"/>
    <w:rsid w:val="00702996"/>
    <w:rPr>
      <w:rFonts w:ascii="Times Armenian" w:hAnsi="Times Armenian"/>
      <w:b/>
      <w:i/>
      <w:noProof/>
      <w:sz w:val="26"/>
      <w:u w:val="single"/>
      <w:lang w:val="hy-AM" w:eastAsia="en-US"/>
    </w:rPr>
  </w:style>
  <w:style w:type="character" w:customStyle="1" w:styleId="CharChar57">
    <w:name w:val="Char Char57"/>
    <w:uiPriority w:val="99"/>
    <w:rsid w:val="00702996"/>
    <w:rPr>
      <w:rFonts w:ascii="Times Armenian" w:hAnsi="Times Armenian"/>
      <w:noProof/>
      <w:sz w:val="24"/>
      <w:lang w:val="hy-AM" w:eastAsia="en-US"/>
    </w:rPr>
  </w:style>
  <w:style w:type="character" w:customStyle="1" w:styleId="CharChar47">
    <w:name w:val="Char Char47"/>
    <w:uiPriority w:val="99"/>
    <w:rsid w:val="00702996"/>
    <w:rPr>
      <w:noProof/>
      <w:lang w:val="hy-AM" w:eastAsia="en-US"/>
    </w:rPr>
  </w:style>
  <w:style w:type="character" w:customStyle="1" w:styleId="CharChar186">
    <w:name w:val="Char Char186"/>
    <w:uiPriority w:val="99"/>
    <w:rsid w:val="00702996"/>
    <w:rPr>
      <w:rFonts w:ascii="Times Armenian" w:hAnsi="Times Armenian"/>
      <w:b/>
      <w:i/>
      <w:noProof/>
      <w:sz w:val="20"/>
      <w:lang w:val="hy-AM"/>
    </w:rPr>
  </w:style>
  <w:style w:type="character" w:customStyle="1" w:styleId="CharChar136">
    <w:name w:val="Char Char136"/>
    <w:uiPriority w:val="99"/>
    <w:semiHidden/>
    <w:rsid w:val="00702996"/>
    <w:rPr>
      <w:rFonts w:ascii="Times New Roman" w:hAnsi="Times New Roman"/>
      <w:noProof/>
      <w:sz w:val="20"/>
      <w:lang w:val="hy-AM"/>
    </w:rPr>
  </w:style>
  <w:style w:type="character" w:customStyle="1" w:styleId="CharChar126">
    <w:name w:val="Char Char126"/>
    <w:uiPriority w:val="99"/>
    <w:semiHidden/>
    <w:locked/>
    <w:rsid w:val="00702996"/>
    <w:rPr>
      <w:rFonts w:ascii="Times New Roman" w:hAnsi="Times New Roman"/>
      <w:noProof/>
      <w:sz w:val="24"/>
      <w:lang w:val="hy-AM"/>
    </w:rPr>
  </w:style>
  <w:style w:type="paragraph" w:customStyle="1" w:styleId="CharCharCharChar7">
    <w:name w:val="Char Char Char Char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236">
    <w:name w:val="Char Char236"/>
    <w:uiPriority w:val="99"/>
    <w:rsid w:val="00702996"/>
    <w:rPr>
      <w:rFonts w:ascii="Times Armenian" w:hAnsi="Times Armenian"/>
      <w:noProof/>
      <w:sz w:val="24"/>
      <w:u w:val="single"/>
      <w:lang w:val="hy-AM"/>
    </w:rPr>
  </w:style>
  <w:style w:type="character" w:customStyle="1" w:styleId="CharChar246">
    <w:name w:val="Char Char246"/>
    <w:uiPriority w:val="99"/>
    <w:locked/>
    <w:rsid w:val="00702996"/>
    <w:rPr>
      <w:rFonts w:ascii="Times Armenian" w:hAnsi="Times Armenian"/>
      <w:b/>
      <w:i/>
      <w:noProof/>
      <w:sz w:val="20"/>
      <w:lang w:val="hy-AM"/>
    </w:rPr>
  </w:style>
  <w:style w:type="paragraph" w:customStyle="1" w:styleId="CharCharCharCharCharCharCharCharCharChar6">
    <w:name w:val="Char Char Char Char Char 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391F6D"/>
    <w:pPr>
      <w:tabs>
        <w:tab w:val="left" w:pos="709"/>
      </w:tabs>
    </w:pPr>
    <w:rPr>
      <w:rFonts w:ascii="Tahoma" w:hAnsi="Tahoma"/>
      <w:noProof w:val="0"/>
      <w:lang w:val="pl-PL" w:eastAsia="pl-PL"/>
    </w:rPr>
  </w:style>
  <w:style w:type="paragraph" w:customStyle="1" w:styleId="CharCharCharCharChar6">
    <w:name w:val="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ZchnZchn16">
    <w:name w:val="Zchn Zchn16"/>
    <w:basedOn w:val="Normal"/>
    <w:uiPriority w:val="99"/>
    <w:qFormat/>
    <w:rsid w:val="00391F6D"/>
    <w:pPr>
      <w:spacing w:after="160" w:line="240" w:lineRule="exact"/>
    </w:pPr>
    <w:rPr>
      <w:rFonts w:ascii="Verdana" w:hAnsi="Verdana"/>
      <w:noProof w:val="0"/>
      <w:sz w:val="20"/>
      <w:szCs w:val="20"/>
      <w:lang w:val="en-GB"/>
    </w:rPr>
  </w:style>
  <w:style w:type="paragraph" w:customStyle="1" w:styleId="Znak6">
    <w:name w:val="Znak6"/>
    <w:basedOn w:val="Normal"/>
    <w:uiPriority w:val="99"/>
    <w:qFormat/>
    <w:rsid w:val="00391F6D"/>
    <w:pPr>
      <w:tabs>
        <w:tab w:val="left" w:pos="709"/>
      </w:tabs>
    </w:pPr>
    <w:rPr>
      <w:rFonts w:ascii="Tahoma" w:hAnsi="Tahoma"/>
      <w:noProof w:val="0"/>
      <w:lang w:val="pl-PL" w:eastAsia="pl-PL"/>
    </w:rPr>
  </w:style>
  <w:style w:type="paragraph" w:customStyle="1" w:styleId="8">
    <w:name w:val="Знак Знак8"/>
    <w:basedOn w:val="Normal"/>
    <w:uiPriority w:val="99"/>
    <w:qFormat/>
    <w:rsid w:val="00391F6D"/>
    <w:pPr>
      <w:spacing w:after="160" w:line="240" w:lineRule="exact"/>
    </w:pPr>
    <w:rPr>
      <w:rFonts w:ascii="Arial" w:hAnsi="Arial" w:cs="Arial"/>
      <w:noProof w:val="0"/>
      <w:sz w:val="20"/>
      <w:szCs w:val="20"/>
      <w:lang w:val="en-GB"/>
    </w:rPr>
  </w:style>
  <w:style w:type="paragraph" w:customStyle="1" w:styleId="Char16">
    <w:name w:val="Char1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3CharCharChar6">
    <w:name w:val="Char3 Char Char Char6"/>
    <w:basedOn w:val="Normal"/>
    <w:next w:val="Normal"/>
    <w:uiPriority w:val="99"/>
    <w:semiHidden/>
    <w:qFormat/>
    <w:rsid w:val="00391F6D"/>
    <w:pPr>
      <w:spacing w:after="160" w:line="240" w:lineRule="exact"/>
    </w:pPr>
    <w:rPr>
      <w:rFonts w:ascii="Arial" w:hAnsi="Arial" w:cs="Arial"/>
      <w:noProof w:val="0"/>
      <w:sz w:val="20"/>
      <w:szCs w:val="20"/>
      <w:lang w:val="en-GB"/>
    </w:rPr>
  </w:style>
  <w:style w:type="paragraph" w:customStyle="1" w:styleId="CharChar1CharCharChar1Char6">
    <w:name w:val="Char Char1 Char Char Char1 Char6"/>
    <w:basedOn w:val="Normal"/>
    <w:autoRedefine/>
    <w:uiPriority w:val="99"/>
    <w:qFormat/>
    <w:rsid w:val="00391F6D"/>
    <w:rPr>
      <w:rFonts w:eastAsia="SimSun"/>
      <w:noProof w:val="0"/>
      <w:sz w:val="20"/>
      <w:szCs w:val="20"/>
      <w:lang w:val="en-US" w:eastAsia="ru-RU"/>
    </w:rPr>
  </w:style>
  <w:style w:type="character" w:customStyle="1" w:styleId="Char10">
    <w:name w:val="Char10"/>
    <w:uiPriority w:val="99"/>
    <w:rsid w:val="00391F6D"/>
    <w:rPr>
      <w:rFonts w:ascii="Times Armenian" w:hAnsi="Times Armenian"/>
      <w:sz w:val="22"/>
      <w:lang w:val="en-GB" w:eastAsia="en-US"/>
    </w:rPr>
  </w:style>
  <w:style w:type="paragraph" w:customStyle="1" w:styleId="CharCharChar6">
    <w:name w:val="Char Char Char Знак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CharChar1CharCharCharCharCharCharCharCharChar1Char6">
    <w:name w:val="Char Char Char1 Char Char Char Char Char Char Char Char Char1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160">
    <w:name w:val="Знак Знак16"/>
    <w:basedOn w:val="Normal"/>
    <w:uiPriority w:val="99"/>
    <w:qFormat/>
    <w:rsid w:val="00391F6D"/>
    <w:pPr>
      <w:spacing w:after="160" w:line="240" w:lineRule="exact"/>
    </w:pPr>
    <w:rPr>
      <w:rFonts w:ascii="Arial" w:hAnsi="Arial" w:cs="Arial"/>
      <w:noProof w:val="0"/>
      <w:sz w:val="20"/>
      <w:szCs w:val="20"/>
      <w:lang w:val="en-US"/>
    </w:rPr>
  </w:style>
  <w:style w:type="paragraph" w:customStyle="1" w:styleId="260">
    <w:name w:val="Знак Знак2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60">
    <w:name w:val="Char Char Char Знак Знак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60">
    <w:name w:val="Char Char Char Char Char Знак Знак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66">
    <w:name w:val="Char Char66"/>
    <w:uiPriority w:val="99"/>
    <w:rsid w:val="00391F6D"/>
    <w:rPr>
      <w:rFonts w:ascii="Times Armenian" w:hAnsi="Times Armenian"/>
      <w:b/>
      <w:i/>
      <w:noProof/>
      <w:sz w:val="26"/>
      <w:u w:val="single"/>
      <w:lang w:val="hy-AM" w:eastAsia="en-US"/>
    </w:rPr>
  </w:style>
  <w:style w:type="character" w:customStyle="1" w:styleId="CharChar56">
    <w:name w:val="Char Char56"/>
    <w:uiPriority w:val="99"/>
    <w:rsid w:val="00391F6D"/>
    <w:rPr>
      <w:rFonts w:ascii="Times Armenian" w:hAnsi="Times Armenian"/>
      <w:noProof/>
      <w:sz w:val="24"/>
      <w:lang w:val="hy-AM" w:eastAsia="en-US"/>
    </w:rPr>
  </w:style>
  <w:style w:type="character" w:customStyle="1" w:styleId="CharChar46">
    <w:name w:val="Char Char46"/>
    <w:uiPriority w:val="99"/>
    <w:rsid w:val="00391F6D"/>
    <w:rPr>
      <w:noProof/>
      <w:lang w:val="hy-AM" w:eastAsia="en-US"/>
    </w:rPr>
  </w:style>
  <w:style w:type="character" w:customStyle="1" w:styleId="CharChar185">
    <w:name w:val="Char Char185"/>
    <w:uiPriority w:val="99"/>
    <w:rsid w:val="00391F6D"/>
    <w:rPr>
      <w:rFonts w:ascii="Times Armenian" w:hAnsi="Times Armenian"/>
      <w:b/>
      <w:i/>
      <w:noProof/>
      <w:sz w:val="20"/>
      <w:lang w:val="hy-AM"/>
    </w:rPr>
  </w:style>
  <w:style w:type="character" w:customStyle="1" w:styleId="CharChar135">
    <w:name w:val="Char Char135"/>
    <w:uiPriority w:val="99"/>
    <w:semiHidden/>
    <w:rsid w:val="00391F6D"/>
    <w:rPr>
      <w:rFonts w:ascii="Times New Roman" w:hAnsi="Times New Roman"/>
      <w:noProof/>
      <w:sz w:val="20"/>
      <w:lang w:val="hy-AM"/>
    </w:rPr>
  </w:style>
  <w:style w:type="character" w:customStyle="1" w:styleId="CharChar125">
    <w:name w:val="Char Char125"/>
    <w:uiPriority w:val="99"/>
    <w:semiHidden/>
    <w:locked/>
    <w:rsid w:val="00391F6D"/>
    <w:rPr>
      <w:rFonts w:ascii="Times New Roman" w:hAnsi="Times New Roman"/>
      <w:noProof/>
      <w:sz w:val="24"/>
      <w:lang w:val="hy-AM"/>
    </w:rPr>
  </w:style>
  <w:style w:type="paragraph" w:customStyle="1" w:styleId="CharCharCharChar6">
    <w:name w:val="Char Char Char Char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235">
    <w:name w:val="Char Char235"/>
    <w:uiPriority w:val="99"/>
    <w:rsid w:val="00391F6D"/>
    <w:rPr>
      <w:rFonts w:ascii="Times Armenian" w:hAnsi="Times Armenian"/>
      <w:noProof/>
      <w:sz w:val="24"/>
      <w:u w:val="single"/>
      <w:lang w:val="hy-AM"/>
    </w:rPr>
  </w:style>
  <w:style w:type="character" w:customStyle="1" w:styleId="CharChar245">
    <w:name w:val="Char Char245"/>
    <w:uiPriority w:val="99"/>
    <w:locked/>
    <w:rsid w:val="00391F6D"/>
    <w:rPr>
      <w:rFonts w:ascii="Times Armenian" w:hAnsi="Times Armenian"/>
      <w:b/>
      <w:i/>
      <w:noProof/>
      <w:sz w:val="20"/>
      <w:lang w:val="hy-AM"/>
    </w:rPr>
  </w:style>
  <w:style w:type="paragraph" w:customStyle="1" w:styleId="CharCharCharCharCharCharCharCharCharChar9">
    <w:name w:val="Char Char Char Char Char 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B2066F"/>
    <w:pPr>
      <w:tabs>
        <w:tab w:val="left" w:pos="709"/>
      </w:tabs>
    </w:pPr>
    <w:rPr>
      <w:rFonts w:ascii="Tahoma" w:hAnsi="Tahoma"/>
      <w:noProof w:val="0"/>
      <w:lang w:val="pl-PL" w:eastAsia="pl-PL"/>
    </w:rPr>
  </w:style>
  <w:style w:type="paragraph" w:customStyle="1" w:styleId="CharCharCharCharChar9">
    <w:name w:val="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ZchnZchn19">
    <w:name w:val="Zchn Zchn19"/>
    <w:basedOn w:val="Normal"/>
    <w:uiPriority w:val="99"/>
    <w:qFormat/>
    <w:rsid w:val="00B2066F"/>
    <w:pPr>
      <w:spacing w:after="160" w:line="240" w:lineRule="exact"/>
    </w:pPr>
    <w:rPr>
      <w:rFonts w:ascii="Verdana" w:hAnsi="Verdana"/>
      <w:noProof w:val="0"/>
      <w:sz w:val="20"/>
      <w:szCs w:val="20"/>
      <w:lang w:val="en-GB"/>
    </w:rPr>
  </w:style>
  <w:style w:type="paragraph" w:customStyle="1" w:styleId="Znak9">
    <w:name w:val="Znak9"/>
    <w:basedOn w:val="Normal"/>
    <w:uiPriority w:val="99"/>
    <w:qFormat/>
    <w:rsid w:val="00B2066F"/>
    <w:pPr>
      <w:tabs>
        <w:tab w:val="left" w:pos="709"/>
      </w:tabs>
    </w:pPr>
    <w:rPr>
      <w:rFonts w:ascii="Tahoma" w:hAnsi="Tahoma"/>
      <w:noProof w:val="0"/>
      <w:lang w:val="pl-PL" w:eastAsia="pl-PL"/>
    </w:rPr>
  </w:style>
  <w:style w:type="paragraph" w:customStyle="1" w:styleId="200">
    <w:name w:val="Знак Знак20"/>
    <w:basedOn w:val="Normal"/>
    <w:uiPriority w:val="99"/>
    <w:qFormat/>
    <w:rsid w:val="00B2066F"/>
    <w:pPr>
      <w:spacing w:after="160" w:line="240" w:lineRule="exact"/>
    </w:pPr>
    <w:rPr>
      <w:rFonts w:ascii="Arial" w:hAnsi="Arial" w:cs="Arial"/>
      <w:noProof w:val="0"/>
      <w:sz w:val="20"/>
      <w:szCs w:val="20"/>
      <w:lang w:val="en-GB"/>
    </w:rPr>
  </w:style>
  <w:style w:type="paragraph" w:customStyle="1" w:styleId="Char111">
    <w:name w:val="Char111"/>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3CharCharChar9">
    <w:name w:val="Char3 Char Char Char9"/>
    <w:basedOn w:val="Normal"/>
    <w:next w:val="Normal"/>
    <w:uiPriority w:val="99"/>
    <w:semiHidden/>
    <w:qFormat/>
    <w:rsid w:val="00B2066F"/>
    <w:pPr>
      <w:spacing w:after="160" w:line="240" w:lineRule="exact"/>
    </w:pPr>
    <w:rPr>
      <w:rFonts w:ascii="Arial" w:hAnsi="Arial" w:cs="Arial"/>
      <w:noProof w:val="0"/>
      <w:sz w:val="20"/>
      <w:szCs w:val="20"/>
      <w:lang w:val="en-GB"/>
    </w:rPr>
  </w:style>
  <w:style w:type="paragraph" w:customStyle="1" w:styleId="CharChar1CharCharChar1Char9">
    <w:name w:val="Char Char1 Char Char Char1 Char9"/>
    <w:basedOn w:val="Normal"/>
    <w:autoRedefine/>
    <w:uiPriority w:val="99"/>
    <w:qFormat/>
    <w:rsid w:val="00B2066F"/>
    <w:rPr>
      <w:rFonts w:eastAsia="SimSun"/>
      <w:noProof w:val="0"/>
      <w:sz w:val="20"/>
      <w:szCs w:val="20"/>
      <w:lang w:val="en-US" w:eastAsia="ru-RU"/>
    </w:rPr>
  </w:style>
  <w:style w:type="character" w:customStyle="1" w:styleId="Char21">
    <w:name w:val="Char21"/>
    <w:uiPriority w:val="99"/>
    <w:rsid w:val="00B2066F"/>
    <w:rPr>
      <w:rFonts w:ascii="Times Armenian" w:hAnsi="Times Armenian"/>
      <w:sz w:val="22"/>
      <w:lang w:val="en-GB" w:eastAsia="en-US"/>
    </w:rPr>
  </w:style>
  <w:style w:type="paragraph" w:customStyle="1" w:styleId="CharCharChar100">
    <w:name w:val="Char Char Char Знак10"/>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CharChar1CharCharCharCharCharCharCharCharChar1Char10">
    <w:name w:val="Char Char Char1 Char Char Char Char Char Char Char Char Char1 Char10"/>
    <w:basedOn w:val="Normal"/>
    <w:uiPriority w:val="99"/>
    <w:qFormat/>
    <w:rsid w:val="00B2066F"/>
    <w:pPr>
      <w:spacing w:after="160" w:line="240" w:lineRule="exact"/>
    </w:pPr>
    <w:rPr>
      <w:rFonts w:ascii="Arial" w:hAnsi="Arial" w:cs="Arial"/>
      <w:noProof w:val="0"/>
      <w:sz w:val="20"/>
      <w:szCs w:val="20"/>
      <w:lang w:val="en-US"/>
    </w:rPr>
  </w:style>
  <w:style w:type="paragraph" w:customStyle="1" w:styleId="1100">
    <w:name w:val="Знак Знак110"/>
    <w:basedOn w:val="Normal"/>
    <w:uiPriority w:val="99"/>
    <w:qFormat/>
    <w:rsid w:val="00B2066F"/>
    <w:pPr>
      <w:spacing w:after="160" w:line="240" w:lineRule="exact"/>
    </w:pPr>
    <w:rPr>
      <w:rFonts w:ascii="Arial" w:hAnsi="Arial" w:cs="Arial"/>
      <w:noProof w:val="0"/>
      <w:sz w:val="20"/>
      <w:szCs w:val="20"/>
      <w:lang w:val="en-US"/>
    </w:rPr>
  </w:style>
  <w:style w:type="paragraph" w:customStyle="1" w:styleId="BodyText5">
    <w:name w:val="Body Text5"/>
    <w:basedOn w:val="Default"/>
    <w:next w:val="Default"/>
    <w:uiPriority w:val="99"/>
    <w:qFormat/>
    <w:rsid w:val="00B2066F"/>
    <w:rPr>
      <w:rFonts w:ascii="Sylfaen" w:hAnsi="Sylfaen"/>
      <w:color w:val="auto"/>
    </w:rPr>
  </w:style>
  <w:style w:type="paragraph" w:customStyle="1" w:styleId="29">
    <w:name w:val="Знак Знак2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9">
    <w:name w:val="Char Char Char Знак Знак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90">
    <w:name w:val="Char Char Char Char Char Знак Знак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69">
    <w:name w:val="Char Char69"/>
    <w:uiPriority w:val="99"/>
    <w:rsid w:val="00B2066F"/>
    <w:rPr>
      <w:rFonts w:ascii="Times Armenian" w:hAnsi="Times Armenian"/>
      <w:b/>
      <w:i/>
      <w:noProof/>
      <w:sz w:val="26"/>
      <w:u w:val="single"/>
      <w:lang w:val="hy-AM" w:eastAsia="en-US"/>
    </w:rPr>
  </w:style>
  <w:style w:type="character" w:customStyle="1" w:styleId="CharChar59">
    <w:name w:val="Char Char59"/>
    <w:uiPriority w:val="99"/>
    <w:rsid w:val="00B2066F"/>
    <w:rPr>
      <w:rFonts w:ascii="Times Armenian" w:hAnsi="Times Armenian"/>
      <w:noProof/>
      <w:sz w:val="24"/>
      <w:lang w:val="hy-AM" w:eastAsia="en-US"/>
    </w:rPr>
  </w:style>
  <w:style w:type="character" w:customStyle="1" w:styleId="CharChar49">
    <w:name w:val="Char Char49"/>
    <w:uiPriority w:val="99"/>
    <w:rsid w:val="00B2066F"/>
    <w:rPr>
      <w:noProof/>
      <w:lang w:val="hy-AM" w:eastAsia="en-US"/>
    </w:rPr>
  </w:style>
  <w:style w:type="character" w:customStyle="1" w:styleId="CharChar188">
    <w:name w:val="Char Char188"/>
    <w:uiPriority w:val="99"/>
    <w:rsid w:val="00B2066F"/>
    <w:rPr>
      <w:rFonts w:ascii="Times Armenian" w:hAnsi="Times Armenian"/>
      <w:b/>
      <w:i/>
      <w:noProof/>
      <w:sz w:val="20"/>
      <w:lang w:val="hy-AM"/>
    </w:rPr>
  </w:style>
  <w:style w:type="character" w:customStyle="1" w:styleId="CharChar138">
    <w:name w:val="Char Char138"/>
    <w:uiPriority w:val="99"/>
    <w:semiHidden/>
    <w:rsid w:val="00B2066F"/>
    <w:rPr>
      <w:rFonts w:ascii="Times New Roman" w:hAnsi="Times New Roman"/>
      <w:noProof/>
      <w:sz w:val="20"/>
      <w:lang w:val="hy-AM"/>
    </w:rPr>
  </w:style>
  <w:style w:type="character" w:customStyle="1" w:styleId="CharChar128">
    <w:name w:val="Char Char128"/>
    <w:uiPriority w:val="99"/>
    <w:semiHidden/>
    <w:locked/>
    <w:rsid w:val="00B2066F"/>
    <w:rPr>
      <w:rFonts w:ascii="Times New Roman" w:hAnsi="Times New Roman"/>
      <w:noProof/>
      <w:sz w:val="24"/>
      <w:lang w:val="hy-AM"/>
    </w:rPr>
  </w:style>
  <w:style w:type="paragraph" w:customStyle="1" w:styleId="CharCharCharChar9">
    <w:name w:val="Char Char Char Char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238">
    <w:name w:val="Char Char238"/>
    <w:uiPriority w:val="99"/>
    <w:rsid w:val="00B2066F"/>
    <w:rPr>
      <w:rFonts w:ascii="Times Armenian" w:hAnsi="Times Armenian"/>
      <w:noProof/>
      <w:sz w:val="24"/>
      <w:u w:val="single"/>
      <w:lang w:val="hy-AM"/>
    </w:rPr>
  </w:style>
  <w:style w:type="character" w:customStyle="1" w:styleId="CharChar248">
    <w:name w:val="Char Char248"/>
    <w:uiPriority w:val="99"/>
    <w:locked/>
    <w:rsid w:val="00B2066F"/>
    <w:rPr>
      <w:rFonts w:ascii="Times Armenian" w:hAnsi="Times Armenian"/>
      <w:b/>
      <w:i/>
      <w:noProof/>
      <w:sz w:val="20"/>
      <w:lang w:val="hy-AM"/>
    </w:rPr>
  </w:style>
  <w:style w:type="paragraph" w:customStyle="1" w:styleId="BodyText51">
    <w:name w:val="Body Text51"/>
    <w:basedOn w:val="Default"/>
    <w:next w:val="Default"/>
    <w:uiPriority w:val="99"/>
    <w:qFormat/>
    <w:rsid w:val="00451FE8"/>
    <w:rPr>
      <w:rFonts w:ascii="Sylfaen" w:hAnsi="Sylfaen"/>
      <w:color w:val="auto"/>
    </w:rPr>
  </w:style>
  <w:style w:type="character" w:customStyle="1" w:styleId="Impact115pt0pt1">
    <w:name w:val="Основной текст + Impact.11.5 pt.Курсив.Интервал 0 pt1"/>
    <w:uiPriority w:val="99"/>
    <w:rsid w:val="001A7B46"/>
    <w:rPr>
      <w:rFonts w:ascii="Impact" w:hAnsi="Impact"/>
      <w:i/>
      <w:color w:val="000000"/>
      <w:spacing w:val="0"/>
      <w:w w:val="100"/>
      <w:position w:val="0"/>
      <w:sz w:val="23"/>
      <w:u w:val="none"/>
      <w:shd w:val="clear" w:color="auto" w:fill="FFFFFF"/>
    </w:rPr>
  </w:style>
  <w:style w:type="character" w:customStyle="1" w:styleId="15pt0pt1">
    <w:name w:val="Основной текст + 15 pt.Полужирный.Интервал 0 pt1"/>
    <w:uiPriority w:val="99"/>
    <w:rsid w:val="001A7B4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1">
    <w:name w:val="Основной текст + 11 pt.Полужирный.Интервал 0 pt1"/>
    <w:uiPriority w:val="99"/>
    <w:rsid w:val="001A7B4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251FB7"/>
    <w:pPr>
      <w:tabs>
        <w:tab w:val="left" w:pos="709"/>
      </w:tabs>
    </w:pPr>
    <w:rPr>
      <w:rFonts w:ascii="Tahoma" w:hAnsi="Tahoma"/>
      <w:noProof w:val="0"/>
      <w:lang w:val="pl-PL" w:eastAsia="pl-PL"/>
    </w:rPr>
  </w:style>
  <w:style w:type="paragraph" w:customStyle="1" w:styleId="CharCharCharCharChar5">
    <w:name w:val="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ZchnZchn15">
    <w:name w:val="Zchn Zchn15"/>
    <w:basedOn w:val="Normal"/>
    <w:uiPriority w:val="99"/>
    <w:qFormat/>
    <w:rsid w:val="00251FB7"/>
    <w:pPr>
      <w:spacing w:after="160" w:line="240" w:lineRule="exact"/>
    </w:pPr>
    <w:rPr>
      <w:rFonts w:ascii="Verdana" w:hAnsi="Verdana"/>
      <w:noProof w:val="0"/>
      <w:sz w:val="20"/>
      <w:szCs w:val="20"/>
      <w:lang w:val="en-GB"/>
    </w:rPr>
  </w:style>
  <w:style w:type="paragraph" w:customStyle="1" w:styleId="Znak5">
    <w:name w:val="Znak5"/>
    <w:basedOn w:val="Normal"/>
    <w:uiPriority w:val="99"/>
    <w:qFormat/>
    <w:rsid w:val="00251FB7"/>
    <w:pPr>
      <w:tabs>
        <w:tab w:val="left" w:pos="709"/>
      </w:tabs>
    </w:pPr>
    <w:rPr>
      <w:rFonts w:ascii="Tahoma" w:hAnsi="Tahoma"/>
      <w:noProof w:val="0"/>
      <w:lang w:val="pl-PL" w:eastAsia="pl-PL"/>
    </w:rPr>
  </w:style>
  <w:style w:type="paragraph" w:customStyle="1" w:styleId="7">
    <w:name w:val="Знак Знак7"/>
    <w:basedOn w:val="Normal"/>
    <w:uiPriority w:val="99"/>
    <w:qFormat/>
    <w:rsid w:val="00251FB7"/>
    <w:pPr>
      <w:spacing w:after="160" w:line="240" w:lineRule="exact"/>
    </w:pPr>
    <w:rPr>
      <w:rFonts w:ascii="Arial" w:hAnsi="Arial" w:cs="Arial"/>
      <w:noProof w:val="0"/>
      <w:sz w:val="20"/>
      <w:szCs w:val="20"/>
      <w:lang w:val="en-GB"/>
    </w:rPr>
  </w:style>
  <w:style w:type="paragraph" w:customStyle="1" w:styleId="Char15">
    <w:name w:val="Char1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3CharCharChar5">
    <w:name w:val="Char3 Char Char Char5"/>
    <w:basedOn w:val="Normal"/>
    <w:next w:val="Normal"/>
    <w:uiPriority w:val="99"/>
    <w:semiHidden/>
    <w:qFormat/>
    <w:rsid w:val="00251FB7"/>
    <w:pPr>
      <w:spacing w:after="160" w:line="240" w:lineRule="exact"/>
    </w:pPr>
    <w:rPr>
      <w:rFonts w:ascii="Arial" w:hAnsi="Arial" w:cs="Arial"/>
      <w:noProof w:val="0"/>
      <w:sz w:val="20"/>
      <w:szCs w:val="20"/>
      <w:lang w:val="en-GB"/>
    </w:rPr>
  </w:style>
  <w:style w:type="paragraph" w:customStyle="1" w:styleId="CharChar1CharCharChar1Char5">
    <w:name w:val="Char Char1 Char Char Char1 Char5"/>
    <w:basedOn w:val="Normal"/>
    <w:autoRedefine/>
    <w:uiPriority w:val="99"/>
    <w:qFormat/>
    <w:rsid w:val="00251FB7"/>
    <w:rPr>
      <w:rFonts w:eastAsia="SimSun"/>
      <w:noProof w:val="0"/>
      <w:sz w:val="20"/>
      <w:szCs w:val="20"/>
      <w:lang w:val="en-US" w:eastAsia="ru-RU"/>
    </w:rPr>
  </w:style>
  <w:style w:type="character" w:customStyle="1" w:styleId="Char9">
    <w:name w:val="Char9"/>
    <w:uiPriority w:val="99"/>
    <w:rsid w:val="00251FB7"/>
    <w:rPr>
      <w:rFonts w:ascii="Times Armenian" w:hAnsi="Times Armenian"/>
      <w:sz w:val="22"/>
      <w:lang w:val="en-GB" w:eastAsia="en-US"/>
    </w:rPr>
  </w:style>
  <w:style w:type="paragraph" w:customStyle="1" w:styleId="CharCharChar5">
    <w:name w:val="Char Char Char Знак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CharChar1CharCharCharCharCharCharCharCharChar1Char5">
    <w:name w:val="Char Char Char1 Char Char Char Char Char Char Char Char Char1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150">
    <w:name w:val="Знак Знак15"/>
    <w:basedOn w:val="Normal"/>
    <w:uiPriority w:val="99"/>
    <w:qFormat/>
    <w:rsid w:val="00251FB7"/>
    <w:pPr>
      <w:spacing w:after="160" w:line="240" w:lineRule="exact"/>
    </w:pPr>
    <w:rPr>
      <w:rFonts w:ascii="Arial" w:hAnsi="Arial" w:cs="Arial"/>
      <w:noProof w:val="0"/>
      <w:sz w:val="20"/>
      <w:szCs w:val="20"/>
      <w:lang w:val="en-US"/>
    </w:rPr>
  </w:style>
  <w:style w:type="paragraph" w:customStyle="1" w:styleId="250">
    <w:name w:val="Знак Знак2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50">
    <w:name w:val="Char Char Char Знак Знак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50">
    <w:name w:val="Char Char Char Char Char Знак Знак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65">
    <w:name w:val="Char Char65"/>
    <w:uiPriority w:val="99"/>
    <w:rsid w:val="00251FB7"/>
    <w:rPr>
      <w:rFonts w:ascii="Times Armenian" w:hAnsi="Times Armenian"/>
      <w:b/>
      <w:i/>
      <w:noProof/>
      <w:sz w:val="26"/>
      <w:u w:val="single"/>
      <w:lang w:val="hy-AM" w:eastAsia="en-US"/>
    </w:rPr>
  </w:style>
  <w:style w:type="character" w:customStyle="1" w:styleId="CharChar55">
    <w:name w:val="Char Char55"/>
    <w:uiPriority w:val="99"/>
    <w:rsid w:val="00251FB7"/>
    <w:rPr>
      <w:rFonts w:ascii="Times Armenian" w:hAnsi="Times Armenian"/>
      <w:noProof/>
      <w:sz w:val="24"/>
      <w:lang w:val="hy-AM" w:eastAsia="en-US"/>
    </w:rPr>
  </w:style>
  <w:style w:type="character" w:customStyle="1" w:styleId="CharChar45">
    <w:name w:val="Char Char45"/>
    <w:uiPriority w:val="99"/>
    <w:rsid w:val="00251FB7"/>
    <w:rPr>
      <w:noProof/>
      <w:lang w:val="hy-AM" w:eastAsia="en-US"/>
    </w:rPr>
  </w:style>
  <w:style w:type="character" w:customStyle="1" w:styleId="CharChar184">
    <w:name w:val="Char Char184"/>
    <w:uiPriority w:val="99"/>
    <w:rsid w:val="00251FB7"/>
    <w:rPr>
      <w:rFonts w:ascii="Times Armenian" w:hAnsi="Times Armenian"/>
      <w:b/>
      <w:i/>
      <w:noProof/>
      <w:sz w:val="20"/>
      <w:lang w:val="hy-AM"/>
    </w:rPr>
  </w:style>
  <w:style w:type="character" w:customStyle="1" w:styleId="CharChar134">
    <w:name w:val="Char Char134"/>
    <w:uiPriority w:val="99"/>
    <w:semiHidden/>
    <w:rsid w:val="00251FB7"/>
    <w:rPr>
      <w:rFonts w:ascii="Times New Roman" w:hAnsi="Times New Roman"/>
      <w:noProof/>
      <w:sz w:val="20"/>
      <w:lang w:val="hy-AM"/>
    </w:rPr>
  </w:style>
  <w:style w:type="character" w:customStyle="1" w:styleId="CharChar124">
    <w:name w:val="Char Char124"/>
    <w:uiPriority w:val="99"/>
    <w:semiHidden/>
    <w:locked/>
    <w:rsid w:val="00251FB7"/>
    <w:rPr>
      <w:rFonts w:ascii="Times New Roman" w:hAnsi="Times New Roman"/>
      <w:noProof/>
      <w:sz w:val="24"/>
      <w:lang w:val="hy-AM"/>
    </w:rPr>
  </w:style>
  <w:style w:type="paragraph" w:customStyle="1" w:styleId="CharCharCharChar5">
    <w:name w:val="Char Char Char Char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234">
    <w:name w:val="Char Char234"/>
    <w:uiPriority w:val="99"/>
    <w:rsid w:val="00251FB7"/>
    <w:rPr>
      <w:rFonts w:ascii="Times Armenian" w:hAnsi="Times Armenian"/>
      <w:noProof/>
      <w:sz w:val="24"/>
      <w:u w:val="single"/>
      <w:lang w:val="hy-AM"/>
    </w:rPr>
  </w:style>
  <w:style w:type="character" w:customStyle="1" w:styleId="CharChar244">
    <w:name w:val="Char Char244"/>
    <w:uiPriority w:val="99"/>
    <w:locked/>
    <w:rsid w:val="00251FB7"/>
    <w:rPr>
      <w:rFonts w:ascii="Times Armenian" w:hAnsi="Times Armenian"/>
      <w:b/>
      <w:i/>
      <w:noProof/>
      <w:sz w:val="20"/>
      <w:lang w:val="hy-AM"/>
    </w:rPr>
  </w:style>
  <w:style w:type="character" w:customStyle="1" w:styleId="50">
    <w:name w:val="Основной текст5"/>
    <w:uiPriority w:val="99"/>
    <w:rsid w:val="00CE2C19"/>
    <w:rPr>
      <w:rFonts w:ascii="Sylfaen" w:hAnsi="Sylfaen"/>
      <w:spacing w:val="0"/>
      <w:u w:val="none"/>
      <w:effect w:val="none"/>
      <w:shd w:val="clear" w:color="auto" w:fill="FFFFFF"/>
    </w:rPr>
  </w:style>
  <w:style w:type="paragraph" w:customStyle="1" w:styleId="CharCharCharChar8">
    <w:name w:val="Знак Знак Знак Char Char Char Char Знак Знак Знак"/>
    <w:basedOn w:val="Normal"/>
    <w:uiPriority w:val="99"/>
    <w:qFormat/>
    <w:rsid w:val="00DB04EA"/>
    <w:pPr>
      <w:widowControl w:val="0"/>
      <w:bidi/>
      <w:adjustRightInd w:val="0"/>
      <w:spacing w:after="160" w:line="240" w:lineRule="exact"/>
    </w:pPr>
    <w:rPr>
      <w:noProof w:val="0"/>
      <w:sz w:val="20"/>
      <w:szCs w:val="20"/>
      <w:lang w:val="en-GB" w:eastAsia="ru-RU" w:bidi="he-IL"/>
    </w:rPr>
  </w:style>
  <w:style w:type="paragraph" w:customStyle="1" w:styleId="Textodsaz">
    <w:name w:val="Text odsaz."/>
    <w:basedOn w:val="Normal"/>
    <w:uiPriority w:val="99"/>
    <w:qFormat/>
    <w:rsid w:val="00C960BD"/>
    <w:pPr>
      <w:numPr>
        <w:numId w:val="4"/>
      </w:numPr>
      <w:spacing w:after="20"/>
      <w:jc w:val="both"/>
    </w:pPr>
    <w:rPr>
      <w:noProof w:val="0"/>
      <w:sz w:val="22"/>
      <w:szCs w:val="20"/>
      <w:lang w:val="en-GB" w:eastAsia="cs-CZ"/>
    </w:rPr>
  </w:style>
  <w:style w:type="paragraph" w:customStyle="1" w:styleId="Bullet1">
    <w:name w:val="Bullet 1"/>
    <w:basedOn w:val="Normal"/>
    <w:autoRedefine/>
    <w:uiPriority w:val="99"/>
    <w:qFormat/>
    <w:rsid w:val="00D9443E"/>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noProof w:val="0"/>
      <w:sz w:val="22"/>
      <w:szCs w:val="20"/>
      <w:lang w:val="en-GB"/>
    </w:rPr>
  </w:style>
  <w:style w:type="paragraph" w:customStyle="1" w:styleId="m-8494826695015207150gmail-mechtex">
    <w:name w:val="m_-8494826695015207150gmail-mechtex"/>
    <w:basedOn w:val="Normal"/>
    <w:uiPriority w:val="99"/>
    <w:qFormat/>
    <w:rsid w:val="00D9443E"/>
    <w:pPr>
      <w:spacing w:before="100" w:beforeAutospacing="1" w:after="100" w:afterAutospacing="1"/>
    </w:pPr>
    <w:rPr>
      <w:noProof w:val="0"/>
      <w:lang w:val="en-US"/>
    </w:rPr>
  </w:style>
  <w:style w:type="character" w:customStyle="1" w:styleId="reference-text">
    <w:name w:val="reference-text"/>
    <w:uiPriority w:val="99"/>
    <w:rsid w:val="00CE7159"/>
    <w:rPr>
      <w:rFonts w:cs="Times New Roman"/>
    </w:rPr>
  </w:style>
  <w:style w:type="character" w:customStyle="1" w:styleId="Impact115pt0pt2">
    <w:name w:val="Основной текст + Impact.11.5 pt.Курсив.Интервал 0 pt2"/>
    <w:uiPriority w:val="99"/>
    <w:rsid w:val="00407CBD"/>
    <w:rPr>
      <w:rFonts w:ascii="Impact" w:hAnsi="Impact"/>
      <w:i/>
      <w:color w:val="000000"/>
      <w:spacing w:val="0"/>
      <w:w w:val="100"/>
      <w:position w:val="0"/>
      <w:sz w:val="23"/>
      <w:u w:val="none"/>
      <w:shd w:val="clear" w:color="auto" w:fill="FFFFFF"/>
    </w:rPr>
  </w:style>
  <w:style w:type="character" w:customStyle="1" w:styleId="15pt0pt2">
    <w:name w:val="Основной текст + 15 pt.Полужирный.Интервал 0 pt2"/>
    <w:uiPriority w:val="99"/>
    <w:rsid w:val="00407CBD"/>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2">
    <w:name w:val="Основной текст + 11 pt.Полужирный.Интервал 0 pt2"/>
    <w:uiPriority w:val="99"/>
    <w:rsid w:val="00407CBD"/>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Style14">
    <w:name w:val="Style14"/>
    <w:basedOn w:val="Normal"/>
    <w:uiPriority w:val="99"/>
    <w:qFormat/>
    <w:rsid w:val="008014AB"/>
    <w:pPr>
      <w:widowControl w:val="0"/>
      <w:autoSpaceDE w:val="0"/>
      <w:autoSpaceDN w:val="0"/>
      <w:adjustRightInd w:val="0"/>
      <w:spacing w:line="211" w:lineRule="exact"/>
    </w:pPr>
    <w:rPr>
      <w:rFonts w:ascii="Tahoma" w:eastAsia="SimSun" w:hAnsi="Tahoma" w:cs="Tahoma"/>
      <w:noProof w:val="0"/>
      <w:lang w:val="en-US"/>
    </w:rPr>
  </w:style>
  <w:style w:type="paragraph" w:customStyle="1" w:styleId="a0">
    <w:name w:val="Գծապատկեր"/>
    <w:basedOn w:val="Normal"/>
    <w:link w:val="Char0"/>
    <w:autoRedefine/>
    <w:qFormat/>
    <w:rsid w:val="00F73C0E"/>
    <w:pPr>
      <w:keepNext/>
      <w:keepLines/>
      <w:numPr>
        <w:numId w:val="42"/>
      </w:numPr>
      <w:tabs>
        <w:tab w:val="left" w:pos="284"/>
        <w:tab w:val="left" w:pos="1276"/>
        <w:tab w:val="left" w:pos="1418"/>
        <w:tab w:val="left" w:pos="1560"/>
      </w:tabs>
      <w:autoSpaceDE w:val="0"/>
      <w:autoSpaceDN w:val="0"/>
      <w:adjustRightInd w:val="0"/>
      <w:spacing w:line="276" w:lineRule="auto"/>
      <w:ind w:left="0" w:firstLine="0"/>
    </w:pPr>
    <w:rPr>
      <w:rFonts w:ascii="GHEA Grapalat" w:eastAsia="GHEA Grapalat" w:hAnsi="GHEA Grapalat" w:cs="GHEA Grapalat"/>
      <w:b/>
      <w:noProof w:val="0"/>
      <w:sz w:val="18"/>
      <w:szCs w:val="18"/>
    </w:rPr>
  </w:style>
  <w:style w:type="character" w:customStyle="1" w:styleId="Char0">
    <w:name w:val="Գծապատկեր Char"/>
    <w:link w:val="a0"/>
    <w:locked/>
    <w:rsid w:val="00F73C0E"/>
    <w:rPr>
      <w:rFonts w:ascii="GHEA Grapalat" w:eastAsia="GHEA Grapalat" w:hAnsi="GHEA Grapalat" w:cs="GHEA Grapalat"/>
      <w:b/>
      <w:sz w:val="18"/>
      <w:szCs w:val="18"/>
      <w:lang w:val="hy-AM"/>
    </w:rPr>
  </w:style>
  <w:style w:type="paragraph" w:styleId="TableofFigures">
    <w:name w:val="table of figures"/>
    <w:aliases w:val="ԳԾԱՊԱՏԿԵՐՆԵՐ"/>
    <w:basedOn w:val="Normal"/>
    <w:next w:val="Normal"/>
    <w:autoRedefine/>
    <w:uiPriority w:val="99"/>
    <w:qFormat/>
    <w:rsid w:val="0094312A"/>
    <w:pPr>
      <w:tabs>
        <w:tab w:val="left" w:pos="2023"/>
        <w:tab w:val="right" w:leader="dot" w:pos="10198"/>
      </w:tabs>
      <w:spacing w:after="480"/>
      <w:jc w:val="center"/>
    </w:pPr>
    <w:rPr>
      <w:rFonts w:ascii="GHEA Grapalat" w:hAnsi="GHEA Grapalat"/>
      <w:b/>
    </w:rPr>
  </w:style>
  <w:style w:type="character" w:customStyle="1" w:styleId="Char20">
    <w:name w:val="Char20"/>
    <w:uiPriority w:val="99"/>
    <w:rsid w:val="00C421B7"/>
    <w:rPr>
      <w:rFonts w:ascii="Times Armenian" w:hAnsi="Times Armenian"/>
      <w:sz w:val="22"/>
      <w:lang w:val="en-GB" w:eastAsia="en-US"/>
    </w:rPr>
  </w:style>
  <w:style w:type="paragraph" w:customStyle="1" w:styleId="CharCharChar90">
    <w:name w:val="Char Char Char Знак9"/>
    <w:basedOn w:val="Normal"/>
    <w:next w:val="Normal"/>
    <w:uiPriority w:val="99"/>
    <w:qFormat/>
    <w:rsid w:val="00C421B7"/>
    <w:pPr>
      <w:spacing w:after="160" w:line="240" w:lineRule="exact"/>
    </w:pPr>
    <w:rPr>
      <w:rFonts w:ascii="Tahoma" w:hAnsi="Tahoma"/>
      <w:noProof w:val="0"/>
      <w:szCs w:val="20"/>
      <w:lang w:val="en-US"/>
    </w:rPr>
  </w:style>
  <w:style w:type="paragraph" w:customStyle="1" w:styleId="CharCharChar1CharCharCharCharCharCharCharCharChar1Char9">
    <w:name w:val="Char Char Char1 Char Char Char Char Char Char Char Char Char1 Char9"/>
    <w:basedOn w:val="Normal"/>
    <w:uiPriority w:val="99"/>
    <w:qFormat/>
    <w:rsid w:val="00C421B7"/>
    <w:pPr>
      <w:spacing w:after="160" w:line="240" w:lineRule="exact"/>
    </w:pPr>
    <w:rPr>
      <w:rFonts w:ascii="Arial" w:hAnsi="Arial" w:cs="Arial"/>
      <w:noProof w:val="0"/>
      <w:sz w:val="20"/>
      <w:szCs w:val="20"/>
      <w:lang w:val="en-US"/>
    </w:rPr>
  </w:style>
  <w:style w:type="paragraph" w:customStyle="1" w:styleId="19">
    <w:name w:val="Знак Знак19"/>
    <w:basedOn w:val="Normal"/>
    <w:uiPriority w:val="99"/>
    <w:qFormat/>
    <w:rsid w:val="00C421B7"/>
    <w:pPr>
      <w:spacing w:after="160" w:line="240" w:lineRule="exact"/>
    </w:pPr>
    <w:rPr>
      <w:rFonts w:ascii="Arial" w:hAnsi="Arial" w:cs="Arial"/>
      <w:noProof w:val="0"/>
      <w:sz w:val="20"/>
      <w:szCs w:val="20"/>
      <w:lang w:val="en-US"/>
    </w:rPr>
  </w:style>
  <w:style w:type="character" w:customStyle="1" w:styleId="highlight">
    <w:name w:val="highlight"/>
    <w:uiPriority w:val="99"/>
    <w:rsid w:val="005E1310"/>
    <w:rPr>
      <w:rFonts w:cs="Times New Roman"/>
    </w:rPr>
  </w:style>
  <w:style w:type="character" w:customStyle="1" w:styleId="news-content">
    <w:name w:val="news-content"/>
    <w:uiPriority w:val="99"/>
    <w:rsid w:val="00742A42"/>
    <w:rPr>
      <w:rFonts w:cs="Times New Roman"/>
    </w:rPr>
  </w:style>
  <w:style w:type="paragraph" w:customStyle="1" w:styleId="43">
    <w:name w:val="Абзац списка4"/>
    <w:basedOn w:val="Normal"/>
    <w:uiPriority w:val="99"/>
    <w:qFormat/>
    <w:rsid w:val="008D5B96"/>
    <w:pPr>
      <w:spacing w:after="200" w:line="276" w:lineRule="auto"/>
      <w:ind w:left="720"/>
      <w:contextualSpacing/>
    </w:pPr>
    <w:rPr>
      <w:rFonts w:ascii="Calibri" w:hAnsi="Calibri"/>
      <w:noProof w:val="0"/>
      <w:sz w:val="22"/>
      <w:szCs w:val="22"/>
      <w:lang w:val="ru-RU"/>
    </w:rPr>
  </w:style>
  <w:style w:type="paragraph" w:customStyle="1" w:styleId="35">
    <w:name w:val="Без интервала3"/>
    <w:uiPriority w:val="99"/>
    <w:qFormat/>
    <w:rsid w:val="008D5B96"/>
    <w:rPr>
      <w:rFonts w:ascii="Calibri" w:hAnsi="Calibri" w:cs="Calibri"/>
      <w:sz w:val="22"/>
      <w:szCs w:val="22"/>
    </w:rPr>
  </w:style>
  <w:style w:type="paragraph" w:customStyle="1" w:styleId="60">
    <w:name w:val="Основной текст6"/>
    <w:basedOn w:val="Normal"/>
    <w:uiPriority w:val="99"/>
    <w:qFormat/>
    <w:rsid w:val="008D5B96"/>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paragraph" w:customStyle="1" w:styleId="CharCharCharCharCharCharCharCharCharChar8">
    <w:name w:val="Char Char Char Char Char 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8D5B96"/>
    <w:pPr>
      <w:tabs>
        <w:tab w:val="left" w:pos="709"/>
      </w:tabs>
    </w:pPr>
    <w:rPr>
      <w:rFonts w:ascii="Tahoma" w:hAnsi="Tahoma"/>
      <w:noProof w:val="0"/>
      <w:lang w:val="pl-PL" w:eastAsia="pl-PL"/>
    </w:rPr>
  </w:style>
  <w:style w:type="paragraph" w:customStyle="1" w:styleId="CharCharCharCharChar8">
    <w:name w:val="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ZchnZchn18">
    <w:name w:val="Zchn Zchn18"/>
    <w:basedOn w:val="Normal"/>
    <w:uiPriority w:val="99"/>
    <w:qFormat/>
    <w:rsid w:val="008D5B96"/>
    <w:pPr>
      <w:spacing w:after="160" w:line="240" w:lineRule="exact"/>
    </w:pPr>
    <w:rPr>
      <w:rFonts w:ascii="Verdana" w:hAnsi="Verdana"/>
      <w:noProof w:val="0"/>
      <w:sz w:val="20"/>
      <w:szCs w:val="20"/>
      <w:lang w:val="en-GB"/>
    </w:rPr>
  </w:style>
  <w:style w:type="paragraph" w:customStyle="1" w:styleId="Znak8">
    <w:name w:val="Znak8"/>
    <w:basedOn w:val="Normal"/>
    <w:uiPriority w:val="99"/>
    <w:qFormat/>
    <w:rsid w:val="008D5B96"/>
    <w:pPr>
      <w:tabs>
        <w:tab w:val="left" w:pos="709"/>
      </w:tabs>
    </w:pPr>
    <w:rPr>
      <w:rFonts w:ascii="Tahoma" w:hAnsi="Tahoma"/>
      <w:noProof w:val="0"/>
      <w:lang w:val="pl-PL" w:eastAsia="pl-PL"/>
    </w:rPr>
  </w:style>
  <w:style w:type="paragraph" w:customStyle="1" w:styleId="101">
    <w:name w:val="Знак Знак10"/>
    <w:basedOn w:val="Normal"/>
    <w:uiPriority w:val="99"/>
    <w:qFormat/>
    <w:rsid w:val="008D5B96"/>
    <w:pPr>
      <w:spacing w:after="160" w:line="240" w:lineRule="exact"/>
    </w:pPr>
    <w:rPr>
      <w:rFonts w:ascii="Arial" w:hAnsi="Arial" w:cs="Arial"/>
      <w:noProof w:val="0"/>
      <w:sz w:val="20"/>
      <w:szCs w:val="20"/>
      <w:lang w:val="en-GB"/>
    </w:rPr>
  </w:style>
  <w:style w:type="paragraph" w:customStyle="1" w:styleId="Char110">
    <w:name w:val="Char110"/>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3CharCharChar8">
    <w:name w:val="Char3 Char Char Char8"/>
    <w:basedOn w:val="Normal"/>
    <w:next w:val="Normal"/>
    <w:uiPriority w:val="99"/>
    <w:semiHidden/>
    <w:qFormat/>
    <w:rsid w:val="008D5B96"/>
    <w:pPr>
      <w:spacing w:after="160" w:line="240" w:lineRule="exact"/>
    </w:pPr>
    <w:rPr>
      <w:rFonts w:ascii="Arial" w:hAnsi="Arial" w:cs="Arial"/>
      <w:noProof w:val="0"/>
      <w:sz w:val="20"/>
      <w:szCs w:val="20"/>
      <w:lang w:val="en-GB"/>
    </w:rPr>
  </w:style>
  <w:style w:type="paragraph" w:customStyle="1" w:styleId="CharChar1CharCharChar1Char8">
    <w:name w:val="Char Char1 Char Char Char1 Char8"/>
    <w:basedOn w:val="Normal"/>
    <w:autoRedefine/>
    <w:uiPriority w:val="99"/>
    <w:qFormat/>
    <w:rsid w:val="008D5B96"/>
    <w:rPr>
      <w:rFonts w:eastAsia="SimSun"/>
      <w:noProof w:val="0"/>
      <w:sz w:val="20"/>
      <w:szCs w:val="20"/>
      <w:lang w:val="en-US" w:eastAsia="ru-RU"/>
    </w:rPr>
  </w:style>
  <w:style w:type="character" w:customStyle="1" w:styleId="Char19">
    <w:name w:val="Char19"/>
    <w:uiPriority w:val="99"/>
    <w:rsid w:val="008D5B96"/>
    <w:rPr>
      <w:rFonts w:ascii="Times Armenian" w:hAnsi="Times Armenian"/>
      <w:sz w:val="22"/>
      <w:lang w:val="en-GB" w:eastAsia="en-US"/>
    </w:rPr>
  </w:style>
  <w:style w:type="paragraph" w:customStyle="1" w:styleId="CharCharChar8">
    <w:name w:val="Char Char Char Знак8"/>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CharChar1CharCharCharCharCharCharCharCharChar1Char8">
    <w:name w:val="Char Char Char1 Char Char Char Char Char Char Char Char Char1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180">
    <w:name w:val="Знак Знак18"/>
    <w:basedOn w:val="Normal"/>
    <w:uiPriority w:val="99"/>
    <w:qFormat/>
    <w:rsid w:val="008D5B96"/>
    <w:pPr>
      <w:spacing w:after="160" w:line="240" w:lineRule="exact"/>
    </w:pPr>
    <w:rPr>
      <w:rFonts w:ascii="Arial" w:hAnsi="Arial" w:cs="Arial"/>
      <w:noProof w:val="0"/>
      <w:sz w:val="20"/>
      <w:szCs w:val="20"/>
      <w:lang w:val="en-US"/>
    </w:rPr>
  </w:style>
  <w:style w:type="paragraph" w:customStyle="1" w:styleId="BodyText6">
    <w:name w:val="Body Text6"/>
    <w:basedOn w:val="Default"/>
    <w:next w:val="Default"/>
    <w:uiPriority w:val="99"/>
    <w:qFormat/>
    <w:rsid w:val="008D5B96"/>
    <w:rPr>
      <w:rFonts w:ascii="Sylfaen" w:hAnsi="Sylfaen"/>
      <w:color w:val="auto"/>
    </w:rPr>
  </w:style>
  <w:style w:type="paragraph" w:customStyle="1" w:styleId="280">
    <w:name w:val="Знак Знак2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80">
    <w:name w:val="Char Char Char Знак Знак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80">
    <w:name w:val="Char Char Char Char Char Знак Знак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68">
    <w:name w:val="Char Char68"/>
    <w:uiPriority w:val="99"/>
    <w:rsid w:val="008D5B96"/>
    <w:rPr>
      <w:rFonts w:ascii="Times Armenian" w:hAnsi="Times Armenian"/>
      <w:b/>
      <w:i/>
      <w:noProof/>
      <w:sz w:val="26"/>
      <w:u w:val="single"/>
      <w:lang w:val="hy-AM" w:eastAsia="en-US"/>
    </w:rPr>
  </w:style>
  <w:style w:type="character" w:customStyle="1" w:styleId="CharChar58">
    <w:name w:val="Char Char58"/>
    <w:uiPriority w:val="99"/>
    <w:rsid w:val="008D5B96"/>
    <w:rPr>
      <w:rFonts w:ascii="Times Armenian" w:hAnsi="Times Armenian"/>
      <w:noProof/>
      <w:sz w:val="24"/>
      <w:lang w:val="hy-AM" w:eastAsia="en-US"/>
    </w:rPr>
  </w:style>
  <w:style w:type="character" w:customStyle="1" w:styleId="CharChar48">
    <w:name w:val="Char Char48"/>
    <w:uiPriority w:val="99"/>
    <w:rsid w:val="008D5B96"/>
    <w:rPr>
      <w:noProof/>
      <w:lang w:val="hy-AM" w:eastAsia="en-US"/>
    </w:rPr>
  </w:style>
  <w:style w:type="character" w:customStyle="1" w:styleId="CharChar187">
    <w:name w:val="Char Char187"/>
    <w:uiPriority w:val="99"/>
    <w:rsid w:val="008D5B96"/>
    <w:rPr>
      <w:rFonts w:ascii="Times Armenian" w:hAnsi="Times Armenian"/>
      <w:b/>
      <w:i/>
      <w:noProof/>
      <w:sz w:val="20"/>
      <w:lang w:val="hy-AM"/>
    </w:rPr>
  </w:style>
  <w:style w:type="character" w:customStyle="1" w:styleId="CharChar137">
    <w:name w:val="Char Char137"/>
    <w:uiPriority w:val="99"/>
    <w:semiHidden/>
    <w:rsid w:val="008D5B96"/>
    <w:rPr>
      <w:rFonts w:ascii="Times New Roman" w:hAnsi="Times New Roman"/>
      <w:noProof/>
      <w:sz w:val="20"/>
      <w:lang w:val="hy-AM"/>
    </w:rPr>
  </w:style>
  <w:style w:type="character" w:customStyle="1" w:styleId="CharChar127">
    <w:name w:val="Char Char127"/>
    <w:uiPriority w:val="99"/>
    <w:semiHidden/>
    <w:locked/>
    <w:rsid w:val="008D5B96"/>
    <w:rPr>
      <w:rFonts w:ascii="Times New Roman" w:hAnsi="Times New Roman"/>
      <w:noProof/>
      <w:sz w:val="24"/>
      <w:lang w:val="hy-AM"/>
    </w:rPr>
  </w:style>
  <w:style w:type="paragraph" w:customStyle="1" w:styleId="CharCharCharChar80">
    <w:name w:val="Char Char Char Char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237">
    <w:name w:val="Char Char237"/>
    <w:uiPriority w:val="99"/>
    <w:rsid w:val="008D5B96"/>
    <w:rPr>
      <w:rFonts w:ascii="Times Armenian" w:hAnsi="Times Armenian"/>
      <w:noProof/>
      <w:sz w:val="24"/>
      <w:u w:val="single"/>
      <w:lang w:val="hy-AM"/>
    </w:rPr>
  </w:style>
  <w:style w:type="character" w:customStyle="1" w:styleId="CharChar247">
    <w:name w:val="Char Char247"/>
    <w:uiPriority w:val="99"/>
    <w:locked/>
    <w:rsid w:val="008D5B96"/>
    <w:rPr>
      <w:rFonts w:ascii="Times Armenian" w:hAnsi="Times Armenian"/>
      <w:b/>
      <w:i/>
      <w:noProof/>
      <w:sz w:val="20"/>
      <w:lang w:val="hy-AM"/>
    </w:rPr>
  </w:style>
  <w:style w:type="character" w:customStyle="1" w:styleId="Impact115pt0pt3">
    <w:name w:val="Основной текст + Impact.11.5 pt.Курсив.Интервал 0 pt3"/>
    <w:uiPriority w:val="99"/>
    <w:rsid w:val="008D5B96"/>
    <w:rPr>
      <w:rFonts w:ascii="Impact" w:hAnsi="Impact"/>
      <w:i/>
      <w:color w:val="000000"/>
      <w:spacing w:val="0"/>
      <w:w w:val="100"/>
      <w:position w:val="0"/>
      <w:sz w:val="23"/>
      <w:u w:val="none"/>
      <w:shd w:val="clear" w:color="auto" w:fill="FFFFFF"/>
    </w:rPr>
  </w:style>
  <w:style w:type="character" w:customStyle="1" w:styleId="15pt0pt3">
    <w:name w:val="Основной текст + 15 pt.Полужирный.Интервал 0 pt3"/>
    <w:uiPriority w:val="99"/>
    <w:rsid w:val="008D5B9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3">
    <w:name w:val="Основной текст + 11 pt.Полужирный.Интервал 0 pt3"/>
    <w:uiPriority w:val="99"/>
    <w:rsid w:val="008D5B9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a">
    <w:name w:val="Աղյուսակ"/>
    <w:basedOn w:val="Normal"/>
    <w:next w:val="Normal"/>
    <w:link w:val="Chara"/>
    <w:uiPriority w:val="99"/>
    <w:qFormat/>
    <w:rsid w:val="00C42EB5"/>
    <w:pPr>
      <w:keepNext/>
      <w:numPr>
        <w:numId w:val="5"/>
      </w:numPr>
      <w:spacing w:before="240" w:after="120"/>
      <w:ind w:left="0" w:firstLine="0"/>
      <w:jc w:val="both"/>
    </w:pPr>
    <w:rPr>
      <w:rFonts w:ascii="GHEA Grapalat" w:hAnsi="GHEA Grapalat"/>
      <w:b/>
      <w:color w:val="1F497D"/>
    </w:rPr>
  </w:style>
  <w:style w:type="character" w:customStyle="1" w:styleId="Chara">
    <w:name w:val="Աղյուսակ Char"/>
    <w:link w:val="a"/>
    <w:uiPriority w:val="99"/>
    <w:locked/>
    <w:rsid w:val="00C42EB5"/>
    <w:rPr>
      <w:rFonts w:ascii="GHEA Grapalat" w:hAnsi="GHEA Grapalat"/>
      <w:b/>
      <w:noProof/>
      <w:color w:val="1F497D"/>
      <w:sz w:val="24"/>
      <w:szCs w:val="24"/>
      <w:lang w:val="hy-AM"/>
    </w:rPr>
  </w:style>
  <w:style w:type="paragraph" w:customStyle="1" w:styleId="Normal2">
    <w:name w:val="Normal2"/>
    <w:uiPriority w:val="99"/>
    <w:rsid w:val="00352A42"/>
    <w:rPr>
      <w:sz w:val="24"/>
      <w:szCs w:val="24"/>
      <w:lang w:val="hy-AM"/>
    </w:rPr>
  </w:style>
  <w:style w:type="paragraph" w:customStyle="1" w:styleId="Normal3">
    <w:name w:val="Normal3"/>
    <w:uiPriority w:val="99"/>
    <w:rsid w:val="00352A42"/>
    <w:rPr>
      <w:sz w:val="24"/>
      <w:szCs w:val="24"/>
      <w:lang w:val="hy-AM"/>
    </w:rPr>
  </w:style>
  <w:style w:type="table" w:customStyle="1" w:styleId="TableGrid12">
    <w:name w:val="Table Grid12"/>
    <w:uiPriority w:val="99"/>
    <w:rsid w:val="00A601AA"/>
    <w:pPr>
      <w:spacing w:after="200" w:line="276"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1">
    <w:name w:val="Абзац списка22"/>
    <w:basedOn w:val="Normal"/>
    <w:uiPriority w:val="99"/>
    <w:rsid w:val="001C1EE6"/>
    <w:pPr>
      <w:spacing w:after="200" w:line="276" w:lineRule="auto"/>
      <w:ind w:left="720"/>
      <w:contextualSpacing/>
    </w:pPr>
    <w:rPr>
      <w:rFonts w:ascii="Calibri" w:hAnsi="Calibri"/>
      <w:noProof w:val="0"/>
      <w:sz w:val="22"/>
      <w:szCs w:val="22"/>
      <w:lang w:val="ru-RU"/>
    </w:rPr>
  </w:style>
  <w:style w:type="character" w:customStyle="1" w:styleId="52">
    <w:name w:val="Основной текст52"/>
    <w:uiPriority w:val="99"/>
    <w:rsid w:val="001C1EE6"/>
    <w:rPr>
      <w:rFonts w:ascii="Sylfaen" w:hAnsi="Sylfaen"/>
      <w:spacing w:val="0"/>
      <w:u w:val="none"/>
      <w:effect w:val="none"/>
      <w:shd w:val="clear" w:color="auto" w:fill="FFFFFF"/>
    </w:rPr>
  </w:style>
  <w:style w:type="paragraph" w:customStyle="1" w:styleId="320">
    <w:name w:val="Без интервала32"/>
    <w:uiPriority w:val="99"/>
    <w:rsid w:val="001C1EE6"/>
    <w:rPr>
      <w:rFonts w:ascii="Calibri" w:hAnsi="Calibri" w:cs="Calibri"/>
      <w:sz w:val="22"/>
      <w:szCs w:val="22"/>
    </w:rPr>
  </w:style>
  <w:style w:type="paragraph" w:customStyle="1" w:styleId="msonormalmrcssattr">
    <w:name w:val="msonormal_mr_css_attr"/>
    <w:basedOn w:val="Normal"/>
    <w:uiPriority w:val="99"/>
    <w:rsid w:val="001C1EE6"/>
    <w:pPr>
      <w:spacing w:before="100" w:beforeAutospacing="1" w:after="100" w:afterAutospacing="1"/>
    </w:pPr>
    <w:rPr>
      <w:noProof w:val="0"/>
      <w:lang w:val="en-US"/>
    </w:rPr>
  </w:style>
  <w:style w:type="paragraph" w:customStyle="1" w:styleId="211">
    <w:name w:val="Абзац списка21"/>
    <w:basedOn w:val="Normal"/>
    <w:uiPriority w:val="99"/>
    <w:rsid w:val="001C1EE6"/>
    <w:pPr>
      <w:spacing w:after="200" w:line="276" w:lineRule="auto"/>
      <w:ind w:left="720"/>
    </w:pPr>
    <w:rPr>
      <w:rFonts w:ascii="Calibri" w:hAnsi="Calibri" w:cs="Calibri"/>
      <w:noProof w:val="0"/>
      <w:sz w:val="22"/>
      <w:szCs w:val="22"/>
      <w:lang w:val="en-US"/>
    </w:rPr>
  </w:style>
  <w:style w:type="character" w:customStyle="1" w:styleId="51">
    <w:name w:val="Основной текст51"/>
    <w:uiPriority w:val="99"/>
    <w:rsid w:val="001C1EE6"/>
    <w:rPr>
      <w:rFonts w:ascii="Sylfaen" w:hAnsi="Sylfaen"/>
      <w:spacing w:val="0"/>
      <w:u w:val="none"/>
      <w:effect w:val="none"/>
      <w:shd w:val="clear" w:color="auto" w:fill="FFFFFF"/>
    </w:rPr>
  </w:style>
  <w:style w:type="paragraph" w:customStyle="1" w:styleId="310">
    <w:name w:val="Без интервала31"/>
    <w:uiPriority w:val="99"/>
    <w:rsid w:val="001C1EE6"/>
    <w:rPr>
      <w:rFonts w:ascii="Calibri" w:hAnsi="Calibri" w:cs="Calibri"/>
      <w:sz w:val="22"/>
      <w:szCs w:val="22"/>
    </w:rPr>
  </w:style>
  <w:style w:type="character" w:customStyle="1" w:styleId="acopre">
    <w:name w:val="acopre"/>
    <w:uiPriority w:val="99"/>
    <w:rsid w:val="00FD2AB2"/>
    <w:rPr>
      <w:rFonts w:cs="Times New Roman"/>
    </w:rPr>
  </w:style>
  <w:style w:type="numbering" w:customStyle="1" w:styleId="Style1">
    <w:name w:val="Style1"/>
    <w:rsid w:val="00B32A78"/>
    <w:pPr>
      <w:numPr>
        <w:numId w:val="2"/>
      </w:numPr>
    </w:pPr>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
    <w:basedOn w:val="Normal"/>
    <w:uiPriority w:val="34"/>
    <w:qFormat/>
    <w:rsid w:val="00720736"/>
    <w:pPr>
      <w:spacing w:after="200" w:line="276" w:lineRule="auto"/>
      <w:ind w:left="720"/>
      <w:contextualSpacing/>
    </w:pPr>
    <w:rPr>
      <w:rFonts w:ascii="Calibri" w:eastAsia="Calibri" w:hAnsi="Calibri" w:cs="Calibri"/>
      <w:noProof w:val="0"/>
      <w:sz w:val="22"/>
      <w:szCs w:val="22"/>
      <w:lang w:val="ru-RU" w:eastAsia="ru-RU"/>
    </w:rPr>
  </w:style>
  <w:style w:type="character" w:customStyle="1" w:styleId="mechtex0">
    <w:name w:val="mechtex Знак"/>
    <w:locked/>
    <w:rsid w:val="00720736"/>
    <w:rPr>
      <w:rFonts w:ascii="Arial Armenian" w:eastAsia="Times New Roman" w:hAnsi="Arial Armenian" w:cs="Arial Armenian"/>
      <w:kern w:val="2"/>
      <w:lang w:eastAsia="ru-RU"/>
    </w:rPr>
  </w:style>
  <w:style w:type="paragraph" w:customStyle="1" w:styleId="BodyA">
    <w:name w:val="Body A"/>
    <w:rsid w:val="001861BE"/>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53411A"/>
    <w:pPr>
      <w:widowControl w:val="0"/>
      <w:suppressLineNumbers/>
      <w:suppressAutoHyphens/>
    </w:pPr>
    <w:rPr>
      <w:rFonts w:ascii="Liberation Serif" w:eastAsia="Noto Serif CJK SC" w:hAnsi="Liberation Serif" w:cs="Lohit Devanagari"/>
      <w:noProof w:val="0"/>
      <w:kern w:val="2"/>
      <w:lang w:val="en-US" w:eastAsia="zh-CN" w:bidi="hi-IN"/>
    </w:rPr>
  </w:style>
  <w:style w:type="character" w:customStyle="1" w:styleId="CommentTextChar1">
    <w:name w:val="Comment Text Char1"/>
    <w:semiHidden/>
    <w:rsid w:val="00FC2F7D"/>
    <w:rPr>
      <w:rFonts w:ascii="Arial Armenian" w:hAnsi="Arial Armenian"/>
    </w:rPr>
  </w:style>
  <w:style w:type="character" w:customStyle="1" w:styleId="Heading7Char1">
    <w:name w:val="Heading 7 Char1"/>
    <w:semiHidden/>
    <w:rsid w:val="00FC2F7D"/>
    <w:rPr>
      <w:rFonts w:ascii="Cambria" w:eastAsia="Times New Roman" w:hAnsi="Cambria" w:cs="Times New Roman"/>
      <w:i/>
      <w:iCs/>
      <w:color w:val="404040"/>
      <w:sz w:val="24"/>
      <w:szCs w:val="24"/>
    </w:rPr>
  </w:style>
  <w:style w:type="character" w:customStyle="1" w:styleId="Heading8Char1">
    <w:name w:val="Heading 8 Char1"/>
    <w:semiHidden/>
    <w:rsid w:val="00FC2F7D"/>
    <w:rPr>
      <w:rFonts w:ascii="Cambria" w:eastAsia="Times New Roman" w:hAnsi="Cambria" w:cs="Times New Roman"/>
      <w:color w:val="404040"/>
    </w:rPr>
  </w:style>
  <w:style w:type="character" w:customStyle="1" w:styleId="Heading9Char1">
    <w:name w:val="Heading 9 Char1"/>
    <w:uiPriority w:val="99"/>
    <w:semiHidden/>
    <w:rsid w:val="00FC2F7D"/>
    <w:rPr>
      <w:rFonts w:ascii="Cambria" w:eastAsia="Times New Roman" w:hAnsi="Cambria" w:cs="Times New Roman"/>
      <w:i/>
      <w:iCs/>
      <w:color w:val="404040"/>
    </w:rPr>
  </w:style>
  <w:style w:type="character" w:customStyle="1" w:styleId="BodyTextIndent2Char1">
    <w:name w:val="Body Text Indent 2 Char1"/>
    <w:semiHidden/>
    <w:rsid w:val="00FC2F7D"/>
    <w:rPr>
      <w:rFonts w:ascii="Arial Armenian" w:hAnsi="Arial Armenian"/>
      <w:sz w:val="24"/>
      <w:szCs w:val="24"/>
    </w:rPr>
  </w:style>
  <w:style w:type="character" w:customStyle="1" w:styleId="CommentSubjectChar1">
    <w:name w:val="Comment Subject Char1"/>
    <w:semiHidden/>
    <w:rsid w:val="00FC2F7D"/>
    <w:rPr>
      <w:rFonts w:ascii="Arial Armenian" w:hAnsi="Arial Armenian"/>
      <w:b/>
      <w:bCs/>
    </w:rPr>
  </w:style>
  <w:style w:type="character" w:customStyle="1" w:styleId="EndnoteTextChar1">
    <w:name w:val="Endnote Text Char1"/>
    <w:semiHidden/>
    <w:rsid w:val="00FC2F7D"/>
    <w:rPr>
      <w:rFonts w:ascii="Arial Armenian" w:hAnsi="Arial Armenian"/>
    </w:rPr>
  </w:style>
  <w:style w:type="character" w:customStyle="1" w:styleId="DocumentMapChar1">
    <w:name w:val="Document Map Char1"/>
    <w:uiPriority w:val="99"/>
    <w:semiHidden/>
    <w:rsid w:val="00FC2F7D"/>
    <w:rPr>
      <w:rFonts w:ascii="Tahoma" w:hAnsi="Tahoma" w:cs="Tahoma"/>
      <w:sz w:val="16"/>
      <w:szCs w:val="16"/>
    </w:rPr>
  </w:style>
  <w:style w:type="character" w:customStyle="1" w:styleId="BodyTextFirstIndentChar1">
    <w:name w:val="Body Text First Indent Char1"/>
    <w:uiPriority w:val="99"/>
    <w:semiHidden/>
    <w:rsid w:val="00FC2F7D"/>
    <w:rPr>
      <w:rFonts w:ascii="Times Armenian" w:hAnsi="Times Armenian" w:cs="Times New Roman"/>
      <w:b/>
      <w:i/>
      <w:noProof/>
      <w:sz w:val="24"/>
      <w:szCs w:val="24"/>
      <w:lang w:val="hy-AM"/>
    </w:rPr>
  </w:style>
  <w:style w:type="character" w:customStyle="1" w:styleId="IntenseQuoteChar1">
    <w:name w:val="Intense Quote Char1"/>
    <w:uiPriority w:val="99"/>
    <w:rsid w:val="00FC2F7D"/>
    <w:rPr>
      <w:rFonts w:ascii="Arial Armenian" w:hAnsi="Arial Armenian"/>
      <w:b/>
      <w:bCs/>
      <w:i/>
      <w:iCs/>
      <w:color w:val="4F81BD"/>
      <w:sz w:val="24"/>
      <w:szCs w:val="24"/>
    </w:rPr>
  </w:style>
  <w:style w:type="character" w:customStyle="1" w:styleId="PlainTextChar2">
    <w:name w:val="Plain Text Char2"/>
    <w:uiPriority w:val="99"/>
    <w:semiHidden/>
    <w:rsid w:val="00FC2F7D"/>
    <w:rPr>
      <w:rFonts w:ascii="Consolas" w:hAnsi="Consolas"/>
      <w:sz w:val="21"/>
      <w:szCs w:val="21"/>
    </w:rPr>
  </w:style>
  <w:style w:type="character" w:customStyle="1" w:styleId="TitleChar2">
    <w:name w:val="Title Char2"/>
    <w:uiPriority w:val="10"/>
    <w:rsid w:val="00FC2F7D"/>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FC2F7D"/>
    <w:rPr>
      <w:rFonts w:ascii="Cambria" w:eastAsia="Times New Roman" w:hAnsi="Cambria" w:cs="Times New Roman"/>
      <w:i/>
      <w:iCs/>
      <w:color w:val="4F81BD"/>
      <w:spacing w:val="15"/>
      <w:sz w:val="24"/>
      <w:szCs w:val="24"/>
    </w:rPr>
  </w:style>
  <w:style w:type="character" w:customStyle="1" w:styleId="QuoteChar1">
    <w:name w:val="Quote Char1"/>
    <w:uiPriority w:val="99"/>
    <w:rsid w:val="00FC2F7D"/>
    <w:rPr>
      <w:rFonts w:ascii="Arial Armenian" w:hAnsi="Arial Armenian"/>
      <w:i/>
      <w:iCs/>
      <w:color w:val="000000"/>
      <w:sz w:val="24"/>
      <w:szCs w:val="24"/>
    </w:rPr>
  </w:style>
  <w:style w:type="table" w:customStyle="1" w:styleId="TableGrid14212">
    <w:name w:val="Table Grid14212"/>
    <w:basedOn w:val="TableNormal"/>
    <w:uiPriority w:val="39"/>
    <w:rsid w:val="00FC2F7D"/>
    <w:pPr>
      <w:spacing w:after="200" w:line="276"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uiPriority w:val="39"/>
    <w:rsid w:val="00FC2F7D"/>
    <w:pPr>
      <w:spacing w:after="200" w:line="276" w:lineRule="auto"/>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2">
    <w:name w:val="Table Grid912"/>
    <w:basedOn w:val="TableNormal"/>
    <w:uiPriority w:val="39"/>
    <w:rsid w:val="00FC2F7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FC2F7D"/>
    <w:rPr>
      <w:rFonts w:ascii="Calibri" w:eastAsia="Calibri" w:hAnsi="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
    <w:name w:val="Стиль1"/>
    <w:uiPriority w:val="99"/>
    <w:rsid w:val="00FC2F7D"/>
    <w:pPr>
      <w:numPr>
        <w:numId w:val="9"/>
      </w:numPr>
    </w:pPr>
  </w:style>
  <w:style w:type="numbering" w:customStyle="1" w:styleId="NoList1">
    <w:name w:val="No List1"/>
    <w:next w:val="NoList"/>
    <w:semiHidden/>
    <w:rsid w:val="00F023DC"/>
  </w:style>
  <w:style w:type="character" w:customStyle="1" w:styleId="UnresolvedMention1">
    <w:name w:val="Unresolved Mention1"/>
    <w:uiPriority w:val="99"/>
    <w:semiHidden/>
    <w:rsid w:val="00F86947"/>
    <w:rPr>
      <w:color w:val="605E5C"/>
      <w:shd w:val="clear" w:color="auto" w:fill="E1DFDD"/>
    </w:rPr>
  </w:style>
  <w:style w:type="character" w:customStyle="1" w:styleId="markedcontent">
    <w:name w:val="markedcontent"/>
    <w:rsid w:val="00F86947"/>
  </w:style>
  <w:style w:type="character" w:customStyle="1" w:styleId="UnresolvedMention2">
    <w:name w:val="Unresolved Mention2"/>
    <w:uiPriority w:val="99"/>
    <w:semiHidden/>
    <w:unhideWhenUsed/>
    <w:rsid w:val="00681A5B"/>
    <w:rPr>
      <w:color w:val="605E5C"/>
      <w:shd w:val="clear" w:color="auto" w:fill="E1DFDD"/>
    </w:rPr>
  </w:style>
  <w:style w:type="paragraph" w:customStyle="1" w:styleId="Ac">
    <w:name w:val="Основной текст A"/>
    <w:rsid w:val="00695F26"/>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rPr>
  </w:style>
  <w:style w:type="character" w:customStyle="1" w:styleId="UnresolvedMention3">
    <w:name w:val="Unresolved Mention3"/>
    <w:uiPriority w:val="99"/>
    <w:semiHidden/>
    <w:unhideWhenUsed/>
    <w:rsid w:val="00401A48"/>
    <w:rPr>
      <w:color w:val="605E5C"/>
      <w:shd w:val="clear" w:color="auto" w:fill="E1DFDD"/>
    </w:rPr>
  </w:style>
  <w:style w:type="character" w:customStyle="1" w:styleId="FontStyle11">
    <w:name w:val="Font Style11"/>
    <w:rsid w:val="00401A48"/>
    <w:rPr>
      <w:rFonts w:ascii="Arial Unicode MS" w:hAnsi="Arial Unicode MS" w:cs="Arial Unicode MS"/>
      <w:b/>
      <w:bCs/>
      <w:sz w:val="30"/>
      <w:szCs w:val="30"/>
    </w:rPr>
  </w:style>
  <w:style w:type="paragraph" w:customStyle="1" w:styleId="v1v1msonormal">
    <w:name w:val="v1v1msonormal"/>
    <w:basedOn w:val="Normal"/>
    <w:rsid w:val="00681414"/>
    <w:pPr>
      <w:spacing w:before="100" w:beforeAutospacing="1" w:after="100" w:afterAutospacing="1"/>
    </w:pPr>
    <w:rPr>
      <w:noProof w:val="0"/>
      <w:lang w:val="en-US"/>
    </w:rPr>
  </w:style>
  <w:style w:type="paragraph" w:customStyle="1" w:styleId="BVIfnr1">
    <w:name w:val="BVI fnr1"/>
    <w:aliases w:val="BVI fnr Char,Appel note de bas de p..BVI fnr Car Car Car Car,BVI fnr Car Car,BVI fnr Car,BVI fnr Car Car Car Car,BVI fnr Car Car Car Car Char,Appel note de bas de p..BVI fnr Car Car Car Car1,BVI fnr, BVI fnr Char, BVI fnr Car Car, BVI fnr"/>
    <w:basedOn w:val="Normal"/>
    <w:link w:val="FootnoteReference"/>
    <w:uiPriority w:val="99"/>
    <w:rsid w:val="00056123"/>
    <w:pPr>
      <w:spacing w:after="160" w:line="240" w:lineRule="exact"/>
    </w:pPr>
    <w:rPr>
      <w:noProof w:val="0"/>
      <w:sz w:val="20"/>
      <w:szCs w:val="20"/>
      <w:vertAlign w:val="superscript"/>
      <w:lang w:val="en-US"/>
    </w:rPr>
  </w:style>
  <w:style w:type="character" w:customStyle="1" w:styleId="BulletedChar">
    <w:name w:val="Bulleted Char"/>
    <w:link w:val="Bulleted"/>
    <w:locked/>
    <w:rsid w:val="005E4A11"/>
    <w:rPr>
      <w:rFonts w:cs="Calibri"/>
      <w:lang w:eastAsia="hy-AM"/>
    </w:rPr>
  </w:style>
  <w:style w:type="paragraph" w:customStyle="1" w:styleId="Bulleted">
    <w:name w:val="Bulleted"/>
    <w:basedOn w:val="Normal"/>
    <w:link w:val="BulletedChar"/>
    <w:qFormat/>
    <w:rsid w:val="005E4A11"/>
    <w:pPr>
      <w:numPr>
        <w:numId w:val="26"/>
      </w:numPr>
    </w:pPr>
    <w:rPr>
      <w:rFonts w:cs="Calibri"/>
      <w:noProof w:val="0"/>
      <w:sz w:val="20"/>
      <w:szCs w:val="20"/>
      <w:lang w:val="en-US" w:eastAsia="hy-AM"/>
    </w:rPr>
  </w:style>
  <w:style w:type="table" w:customStyle="1" w:styleId="TableGrid1">
    <w:name w:val="Table Grid1"/>
    <w:basedOn w:val="TableNormal"/>
    <w:next w:val="TableGrid"/>
    <w:uiPriority w:val="39"/>
    <w:rsid w:val="006A49E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11">
    <w:name w:val="List Table 4 - Accent 11"/>
    <w:basedOn w:val="TableNormal"/>
    <w:uiPriority w:val="49"/>
    <w:rsid w:val="00400A22"/>
    <w:rPr>
      <w:rFonts w:ascii="Calibri" w:eastAsia="Calibri" w:hAnsi="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29382">
      <w:bodyDiv w:val="1"/>
      <w:marLeft w:val="0"/>
      <w:marRight w:val="0"/>
      <w:marTop w:val="0"/>
      <w:marBottom w:val="0"/>
      <w:divBdr>
        <w:top w:val="none" w:sz="0" w:space="0" w:color="auto"/>
        <w:left w:val="none" w:sz="0" w:space="0" w:color="auto"/>
        <w:bottom w:val="none" w:sz="0" w:space="0" w:color="auto"/>
        <w:right w:val="none" w:sz="0" w:space="0" w:color="auto"/>
      </w:divBdr>
    </w:div>
    <w:div w:id="21102684">
      <w:bodyDiv w:val="1"/>
      <w:marLeft w:val="0"/>
      <w:marRight w:val="0"/>
      <w:marTop w:val="0"/>
      <w:marBottom w:val="0"/>
      <w:divBdr>
        <w:top w:val="none" w:sz="0" w:space="0" w:color="auto"/>
        <w:left w:val="none" w:sz="0" w:space="0" w:color="auto"/>
        <w:bottom w:val="none" w:sz="0" w:space="0" w:color="auto"/>
        <w:right w:val="none" w:sz="0" w:space="0" w:color="auto"/>
      </w:divBdr>
    </w:div>
    <w:div w:id="101340571">
      <w:bodyDiv w:val="1"/>
      <w:marLeft w:val="0"/>
      <w:marRight w:val="0"/>
      <w:marTop w:val="0"/>
      <w:marBottom w:val="0"/>
      <w:divBdr>
        <w:top w:val="none" w:sz="0" w:space="0" w:color="auto"/>
        <w:left w:val="none" w:sz="0" w:space="0" w:color="auto"/>
        <w:bottom w:val="none" w:sz="0" w:space="0" w:color="auto"/>
        <w:right w:val="none" w:sz="0" w:space="0" w:color="auto"/>
      </w:divBdr>
    </w:div>
    <w:div w:id="105271331">
      <w:bodyDiv w:val="1"/>
      <w:marLeft w:val="0"/>
      <w:marRight w:val="0"/>
      <w:marTop w:val="0"/>
      <w:marBottom w:val="0"/>
      <w:divBdr>
        <w:top w:val="none" w:sz="0" w:space="0" w:color="auto"/>
        <w:left w:val="none" w:sz="0" w:space="0" w:color="auto"/>
        <w:bottom w:val="none" w:sz="0" w:space="0" w:color="auto"/>
        <w:right w:val="none" w:sz="0" w:space="0" w:color="auto"/>
      </w:divBdr>
    </w:div>
    <w:div w:id="147482748">
      <w:bodyDiv w:val="1"/>
      <w:marLeft w:val="0"/>
      <w:marRight w:val="0"/>
      <w:marTop w:val="0"/>
      <w:marBottom w:val="0"/>
      <w:divBdr>
        <w:top w:val="none" w:sz="0" w:space="0" w:color="auto"/>
        <w:left w:val="none" w:sz="0" w:space="0" w:color="auto"/>
        <w:bottom w:val="none" w:sz="0" w:space="0" w:color="auto"/>
        <w:right w:val="none" w:sz="0" w:space="0" w:color="auto"/>
      </w:divBdr>
    </w:div>
    <w:div w:id="147598561">
      <w:bodyDiv w:val="1"/>
      <w:marLeft w:val="0"/>
      <w:marRight w:val="0"/>
      <w:marTop w:val="0"/>
      <w:marBottom w:val="0"/>
      <w:divBdr>
        <w:top w:val="none" w:sz="0" w:space="0" w:color="auto"/>
        <w:left w:val="none" w:sz="0" w:space="0" w:color="auto"/>
        <w:bottom w:val="none" w:sz="0" w:space="0" w:color="auto"/>
        <w:right w:val="none" w:sz="0" w:space="0" w:color="auto"/>
      </w:divBdr>
    </w:div>
    <w:div w:id="172691912">
      <w:bodyDiv w:val="1"/>
      <w:marLeft w:val="0"/>
      <w:marRight w:val="0"/>
      <w:marTop w:val="0"/>
      <w:marBottom w:val="0"/>
      <w:divBdr>
        <w:top w:val="none" w:sz="0" w:space="0" w:color="auto"/>
        <w:left w:val="none" w:sz="0" w:space="0" w:color="auto"/>
        <w:bottom w:val="none" w:sz="0" w:space="0" w:color="auto"/>
        <w:right w:val="none" w:sz="0" w:space="0" w:color="auto"/>
      </w:divBdr>
    </w:div>
    <w:div w:id="194082336">
      <w:bodyDiv w:val="1"/>
      <w:marLeft w:val="0"/>
      <w:marRight w:val="0"/>
      <w:marTop w:val="0"/>
      <w:marBottom w:val="0"/>
      <w:divBdr>
        <w:top w:val="none" w:sz="0" w:space="0" w:color="auto"/>
        <w:left w:val="none" w:sz="0" w:space="0" w:color="auto"/>
        <w:bottom w:val="none" w:sz="0" w:space="0" w:color="auto"/>
        <w:right w:val="none" w:sz="0" w:space="0" w:color="auto"/>
      </w:divBdr>
    </w:div>
    <w:div w:id="196048492">
      <w:bodyDiv w:val="1"/>
      <w:marLeft w:val="0"/>
      <w:marRight w:val="0"/>
      <w:marTop w:val="0"/>
      <w:marBottom w:val="0"/>
      <w:divBdr>
        <w:top w:val="none" w:sz="0" w:space="0" w:color="auto"/>
        <w:left w:val="none" w:sz="0" w:space="0" w:color="auto"/>
        <w:bottom w:val="none" w:sz="0" w:space="0" w:color="auto"/>
        <w:right w:val="none" w:sz="0" w:space="0" w:color="auto"/>
      </w:divBdr>
    </w:div>
    <w:div w:id="198663648">
      <w:bodyDiv w:val="1"/>
      <w:marLeft w:val="0"/>
      <w:marRight w:val="0"/>
      <w:marTop w:val="0"/>
      <w:marBottom w:val="0"/>
      <w:divBdr>
        <w:top w:val="none" w:sz="0" w:space="0" w:color="auto"/>
        <w:left w:val="none" w:sz="0" w:space="0" w:color="auto"/>
        <w:bottom w:val="none" w:sz="0" w:space="0" w:color="auto"/>
        <w:right w:val="none" w:sz="0" w:space="0" w:color="auto"/>
      </w:divBdr>
    </w:div>
    <w:div w:id="207498056">
      <w:bodyDiv w:val="1"/>
      <w:marLeft w:val="0"/>
      <w:marRight w:val="0"/>
      <w:marTop w:val="0"/>
      <w:marBottom w:val="0"/>
      <w:divBdr>
        <w:top w:val="none" w:sz="0" w:space="0" w:color="auto"/>
        <w:left w:val="none" w:sz="0" w:space="0" w:color="auto"/>
        <w:bottom w:val="none" w:sz="0" w:space="0" w:color="auto"/>
        <w:right w:val="none" w:sz="0" w:space="0" w:color="auto"/>
      </w:divBdr>
    </w:div>
    <w:div w:id="236475855">
      <w:bodyDiv w:val="1"/>
      <w:marLeft w:val="0"/>
      <w:marRight w:val="0"/>
      <w:marTop w:val="0"/>
      <w:marBottom w:val="0"/>
      <w:divBdr>
        <w:top w:val="none" w:sz="0" w:space="0" w:color="auto"/>
        <w:left w:val="none" w:sz="0" w:space="0" w:color="auto"/>
        <w:bottom w:val="none" w:sz="0" w:space="0" w:color="auto"/>
        <w:right w:val="none" w:sz="0" w:space="0" w:color="auto"/>
      </w:divBdr>
    </w:div>
    <w:div w:id="239292519">
      <w:bodyDiv w:val="1"/>
      <w:marLeft w:val="0"/>
      <w:marRight w:val="0"/>
      <w:marTop w:val="0"/>
      <w:marBottom w:val="0"/>
      <w:divBdr>
        <w:top w:val="none" w:sz="0" w:space="0" w:color="auto"/>
        <w:left w:val="none" w:sz="0" w:space="0" w:color="auto"/>
        <w:bottom w:val="none" w:sz="0" w:space="0" w:color="auto"/>
        <w:right w:val="none" w:sz="0" w:space="0" w:color="auto"/>
      </w:divBdr>
    </w:div>
    <w:div w:id="244732790">
      <w:bodyDiv w:val="1"/>
      <w:marLeft w:val="0"/>
      <w:marRight w:val="0"/>
      <w:marTop w:val="0"/>
      <w:marBottom w:val="0"/>
      <w:divBdr>
        <w:top w:val="none" w:sz="0" w:space="0" w:color="auto"/>
        <w:left w:val="none" w:sz="0" w:space="0" w:color="auto"/>
        <w:bottom w:val="none" w:sz="0" w:space="0" w:color="auto"/>
        <w:right w:val="none" w:sz="0" w:space="0" w:color="auto"/>
      </w:divBdr>
    </w:div>
    <w:div w:id="249706451">
      <w:bodyDiv w:val="1"/>
      <w:marLeft w:val="0"/>
      <w:marRight w:val="0"/>
      <w:marTop w:val="0"/>
      <w:marBottom w:val="0"/>
      <w:divBdr>
        <w:top w:val="none" w:sz="0" w:space="0" w:color="auto"/>
        <w:left w:val="none" w:sz="0" w:space="0" w:color="auto"/>
        <w:bottom w:val="none" w:sz="0" w:space="0" w:color="auto"/>
        <w:right w:val="none" w:sz="0" w:space="0" w:color="auto"/>
      </w:divBdr>
    </w:div>
    <w:div w:id="376125153">
      <w:bodyDiv w:val="1"/>
      <w:marLeft w:val="0"/>
      <w:marRight w:val="0"/>
      <w:marTop w:val="0"/>
      <w:marBottom w:val="0"/>
      <w:divBdr>
        <w:top w:val="none" w:sz="0" w:space="0" w:color="auto"/>
        <w:left w:val="none" w:sz="0" w:space="0" w:color="auto"/>
        <w:bottom w:val="none" w:sz="0" w:space="0" w:color="auto"/>
        <w:right w:val="none" w:sz="0" w:space="0" w:color="auto"/>
      </w:divBdr>
    </w:div>
    <w:div w:id="393166490">
      <w:bodyDiv w:val="1"/>
      <w:marLeft w:val="0"/>
      <w:marRight w:val="0"/>
      <w:marTop w:val="0"/>
      <w:marBottom w:val="0"/>
      <w:divBdr>
        <w:top w:val="none" w:sz="0" w:space="0" w:color="auto"/>
        <w:left w:val="none" w:sz="0" w:space="0" w:color="auto"/>
        <w:bottom w:val="none" w:sz="0" w:space="0" w:color="auto"/>
        <w:right w:val="none" w:sz="0" w:space="0" w:color="auto"/>
      </w:divBdr>
    </w:div>
    <w:div w:id="401023763">
      <w:bodyDiv w:val="1"/>
      <w:marLeft w:val="0"/>
      <w:marRight w:val="0"/>
      <w:marTop w:val="0"/>
      <w:marBottom w:val="0"/>
      <w:divBdr>
        <w:top w:val="none" w:sz="0" w:space="0" w:color="auto"/>
        <w:left w:val="none" w:sz="0" w:space="0" w:color="auto"/>
        <w:bottom w:val="none" w:sz="0" w:space="0" w:color="auto"/>
        <w:right w:val="none" w:sz="0" w:space="0" w:color="auto"/>
      </w:divBdr>
    </w:div>
    <w:div w:id="419567016">
      <w:bodyDiv w:val="1"/>
      <w:marLeft w:val="0"/>
      <w:marRight w:val="0"/>
      <w:marTop w:val="0"/>
      <w:marBottom w:val="0"/>
      <w:divBdr>
        <w:top w:val="none" w:sz="0" w:space="0" w:color="auto"/>
        <w:left w:val="none" w:sz="0" w:space="0" w:color="auto"/>
        <w:bottom w:val="none" w:sz="0" w:space="0" w:color="auto"/>
        <w:right w:val="none" w:sz="0" w:space="0" w:color="auto"/>
      </w:divBdr>
    </w:div>
    <w:div w:id="433281937">
      <w:bodyDiv w:val="1"/>
      <w:marLeft w:val="0"/>
      <w:marRight w:val="0"/>
      <w:marTop w:val="0"/>
      <w:marBottom w:val="0"/>
      <w:divBdr>
        <w:top w:val="none" w:sz="0" w:space="0" w:color="auto"/>
        <w:left w:val="none" w:sz="0" w:space="0" w:color="auto"/>
        <w:bottom w:val="none" w:sz="0" w:space="0" w:color="auto"/>
        <w:right w:val="none" w:sz="0" w:space="0" w:color="auto"/>
      </w:divBdr>
    </w:div>
    <w:div w:id="451751329">
      <w:bodyDiv w:val="1"/>
      <w:marLeft w:val="0"/>
      <w:marRight w:val="0"/>
      <w:marTop w:val="0"/>
      <w:marBottom w:val="0"/>
      <w:divBdr>
        <w:top w:val="none" w:sz="0" w:space="0" w:color="auto"/>
        <w:left w:val="none" w:sz="0" w:space="0" w:color="auto"/>
        <w:bottom w:val="none" w:sz="0" w:space="0" w:color="auto"/>
        <w:right w:val="none" w:sz="0" w:space="0" w:color="auto"/>
      </w:divBdr>
    </w:div>
    <w:div w:id="473064351">
      <w:bodyDiv w:val="1"/>
      <w:marLeft w:val="0"/>
      <w:marRight w:val="0"/>
      <w:marTop w:val="0"/>
      <w:marBottom w:val="0"/>
      <w:divBdr>
        <w:top w:val="none" w:sz="0" w:space="0" w:color="auto"/>
        <w:left w:val="none" w:sz="0" w:space="0" w:color="auto"/>
        <w:bottom w:val="none" w:sz="0" w:space="0" w:color="auto"/>
        <w:right w:val="none" w:sz="0" w:space="0" w:color="auto"/>
      </w:divBdr>
    </w:div>
    <w:div w:id="478616270">
      <w:bodyDiv w:val="1"/>
      <w:marLeft w:val="0"/>
      <w:marRight w:val="0"/>
      <w:marTop w:val="0"/>
      <w:marBottom w:val="0"/>
      <w:divBdr>
        <w:top w:val="none" w:sz="0" w:space="0" w:color="auto"/>
        <w:left w:val="none" w:sz="0" w:space="0" w:color="auto"/>
        <w:bottom w:val="none" w:sz="0" w:space="0" w:color="auto"/>
        <w:right w:val="none" w:sz="0" w:space="0" w:color="auto"/>
      </w:divBdr>
    </w:div>
    <w:div w:id="533229909">
      <w:bodyDiv w:val="1"/>
      <w:marLeft w:val="0"/>
      <w:marRight w:val="0"/>
      <w:marTop w:val="0"/>
      <w:marBottom w:val="0"/>
      <w:divBdr>
        <w:top w:val="none" w:sz="0" w:space="0" w:color="auto"/>
        <w:left w:val="none" w:sz="0" w:space="0" w:color="auto"/>
        <w:bottom w:val="none" w:sz="0" w:space="0" w:color="auto"/>
        <w:right w:val="none" w:sz="0" w:space="0" w:color="auto"/>
      </w:divBdr>
    </w:div>
    <w:div w:id="561257087">
      <w:bodyDiv w:val="1"/>
      <w:marLeft w:val="0"/>
      <w:marRight w:val="0"/>
      <w:marTop w:val="0"/>
      <w:marBottom w:val="0"/>
      <w:divBdr>
        <w:top w:val="none" w:sz="0" w:space="0" w:color="auto"/>
        <w:left w:val="none" w:sz="0" w:space="0" w:color="auto"/>
        <w:bottom w:val="none" w:sz="0" w:space="0" w:color="auto"/>
        <w:right w:val="none" w:sz="0" w:space="0" w:color="auto"/>
      </w:divBdr>
    </w:div>
    <w:div w:id="575675903">
      <w:bodyDiv w:val="1"/>
      <w:marLeft w:val="0"/>
      <w:marRight w:val="0"/>
      <w:marTop w:val="0"/>
      <w:marBottom w:val="0"/>
      <w:divBdr>
        <w:top w:val="none" w:sz="0" w:space="0" w:color="auto"/>
        <w:left w:val="none" w:sz="0" w:space="0" w:color="auto"/>
        <w:bottom w:val="none" w:sz="0" w:space="0" w:color="auto"/>
        <w:right w:val="none" w:sz="0" w:space="0" w:color="auto"/>
      </w:divBdr>
    </w:div>
    <w:div w:id="601496935">
      <w:bodyDiv w:val="1"/>
      <w:marLeft w:val="0"/>
      <w:marRight w:val="0"/>
      <w:marTop w:val="0"/>
      <w:marBottom w:val="0"/>
      <w:divBdr>
        <w:top w:val="none" w:sz="0" w:space="0" w:color="auto"/>
        <w:left w:val="none" w:sz="0" w:space="0" w:color="auto"/>
        <w:bottom w:val="none" w:sz="0" w:space="0" w:color="auto"/>
        <w:right w:val="none" w:sz="0" w:space="0" w:color="auto"/>
      </w:divBdr>
    </w:div>
    <w:div w:id="637493719">
      <w:bodyDiv w:val="1"/>
      <w:marLeft w:val="0"/>
      <w:marRight w:val="0"/>
      <w:marTop w:val="0"/>
      <w:marBottom w:val="0"/>
      <w:divBdr>
        <w:top w:val="none" w:sz="0" w:space="0" w:color="auto"/>
        <w:left w:val="none" w:sz="0" w:space="0" w:color="auto"/>
        <w:bottom w:val="none" w:sz="0" w:space="0" w:color="auto"/>
        <w:right w:val="none" w:sz="0" w:space="0" w:color="auto"/>
      </w:divBdr>
    </w:div>
    <w:div w:id="717362636">
      <w:bodyDiv w:val="1"/>
      <w:marLeft w:val="0"/>
      <w:marRight w:val="0"/>
      <w:marTop w:val="0"/>
      <w:marBottom w:val="0"/>
      <w:divBdr>
        <w:top w:val="none" w:sz="0" w:space="0" w:color="auto"/>
        <w:left w:val="none" w:sz="0" w:space="0" w:color="auto"/>
        <w:bottom w:val="none" w:sz="0" w:space="0" w:color="auto"/>
        <w:right w:val="none" w:sz="0" w:space="0" w:color="auto"/>
      </w:divBdr>
    </w:div>
    <w:div w:id="742987921">
      <w:bodyDiv w:val="1"/>
      <w:marLeft w:val="0"/>
      <w:marRight w:val="0"/>
      <w:marTop w:val="0"/>
      <w:marBottom w:val="0"/>
      <w:divBdr>
        <w:top w:val="none" w:sz="0" w:space="0" w:color="auto"/>
        <w:left w:val="none" w:sz="0" w:space="0" w:color="auto"/>
        <w:bottom w:val="none" w:sz="0" w:space="0" w:color="auto"/>
        <w:right w:val="none" w:sz="0" w:space="0" w:color="auto"/>
      </w:divBdr>
    </w:div>
    <w:div w:id="750464557">
      <w:bodyDiv w:val="1"/>
      <w:marLeft w:val="0"/>
      <w:marRight w:val="0"/>
      <w:marTop w:val="0"/>
      <w:marBottom w:val="0"/>
      <w:divBdr>
        <w:top w:val="none" w:sz="0" w:space="0" w:color="auto"/>
        <w:left w:val="none" w:sz="0" w:space="0" w:color="auto"/>
        <w:bottom w:val="none" w:sz="0" w:space="0" w:color="auto"/>
        <w:right w:val="none" w:sz="0" w:space="0" w:color="auto"/>
      </w:divBdr>
    </w:div>
    <w:div w:id="773593654">
      <w:bodyDiv w:val="1"/>
      <w:marLeft w:val="0"/>
      <w:marRight w:val="0"/>
      <w:marTop w:val="0"/>
      <w:marBottom w:val="0"/>
      <w:divBdr>
        <w:top w:val="none" w:sz="0" w:space="0" w:color="auto"/>
        <w:left w:val="none" w:sz="0" w:space="0" w:color="auto"/>
        <w:bottom w:val="none" w:sz="0" w:space="0" w:color="auto"/>
        <w:right w:val="none" w:sz="0" w:space="0" w:color="auto"/>
      </w:divBdr>
    </w:div>
    <w:div w:id="825978865">
      <w:bodyDiv w:val="1"/>
      <w:marLeft w:val="0"/>
      <w:marRight w:val="0"/>
      <w:marTop w:val="0"/>
      <w:marBottom w:val="0"/>
      <w:divBdr>
        <w:top w:val="none" w:sz="0" w:space="0" w:color="auto"/>
        <w:left w:val="none" w:sz="0" w:space="0" w:color="auto"/>
        <w:bottom w:val="none" w:sz="0" w:space="0" w:color="auto"/>
        <w:right w:val="none" w:sz="0" w:space="0" w:color="auto"/>
      </w:divBdr>
    </w:div>
    <w:div w:id="859125822">
      <w:bodyDiv w:val="1"/>
      <w:marLeft w:val="0"/>
      <w:marRight w:val="0"/>
      <w:marTop w:val="0"/>
      <w:marBottom w:val="0"/>
      <w:divBdr>
        <w:top w:val="none" w:sz="0" w:space="0" w:color="auto"/>
        <w:left w:val="none" w:sz="0" w:space="0" w:color="auto"/>
        <w:bottom w:val="none" w:sz="0" w:space="0" w:color="auto"/>
        <w:right w:val="none" w:sz="0" w:space="0" w:color="auto"/>
      </w:divBdr>
    </w:div>
    <w:div w:id="859317184">
      <w:bodyDiv w:val="1"/>
      <w:marLeft w:val="0"/>
      <w:marRight w:val="0"/>
      <w:marTop w:val="0"/>
      <w:marBottom w:val="0"/>
      <w:divBdr>
        <w:top w:val="none" w:sz="0" w:space="0" w:color="auto"/>
        <w:left w:val="none" w:sz="0" w:space="0" w:color="auto"/>
        <w:bottom w:val="none" w:sz="0" w:space="0" w:color="auto"/>
        <w:right w:val="none" w:sz="0" w:space="0" w:color="auto"/>
      </w:divBdr>
    </w:div>
    <w:div w:id="875236271">
      <w:bodyDiv w:val="1"/>
      <w:marLeft w:val="0"/>
      <w:marRight w:val="0"/>
      <w:marTop w:val="0"/>
      <w:marBottom w:val="0"/>
      <w:divBdr>
        <w:top w:val="none" w:sz="0" w:space="0" w:color="auto"/>
        <w:left w:val="none" w:sz="0" w:space="0" w:color="auto"/>
        <w:bottom w:val="none" w:sz="0" w:space="0" w:color="auto"/>
        <w:right w:val="none" w:sz="0" w:space="0" w:color="auto"/>
      </w:divBdr>
    </w:div>
    <w:div w:id="898399655">
      <w:bodyDiv w:val="1"/>
      <w:marLeft w:val="0"/>
      <w:marRight w:val="0"/>
      <w:marTop w:val="0"/>
      <w:marBottom w:val="0"/>
      <w:divBdr>
        <w:top w:val="none" w:sz="0" w:space="0" w:color="auto"/>
        <w:left w:val="none" w:sz="0" w:space="0" w:color="auto"/>
        <w:bottom w:val="none" w:sz="0" w:space="0" w:color="auto"/>
        <w:right w:val="none" w:sz="0" w:space="0" w:color="auto"/>
      </w:divBdr>
    </w:div>
    <w:div w:id="900365607">
      <w:bodyDiv w:val="1"/>
      <w:marLeft w:val="0"/>
      <w:marRight w:val="0"/>
      <w:marTop w:val="0"/>
      <w:marBottom w:val="0"/>
      <w:divBdr>
        <w:top w:val="none" w:sz="0" w:space="0" w:color="auto"/>
        <w:left w:val="none" w:sz="0" w:space="0" w:color="auto"/>
        <w:bottom w:val="none" w:sz="0" w:space="0" w:color="auto"/>
        <w:right w:val="none" w:sz="0" w:space="0" w:color="auto"/>
      </w:divBdr>
    </w:div>
    <w:div w:id="908272228">
      <w:bodyDiv w:val="1"/>
      <w:marLeft w:val="0"/>
      <w:marRight w:val="0"/>
      <w:marTop w:val="0"/>
      <w:marBottom w:val="0"/>
      <w:divBdr>
        <w:top w:val="none" w:sz="0" w:space="0" w:color="auto"/>
        <w:left w:val="none" w:sz="0" w:space="0" w:color="auto"/>
        <w:bottom w:val="none" w:sz="0" w:space="0" w:color="auto"/>
        <w:right w:val="none" w:sz="0" w:space="0" w:color="auto"/>
      </w:divBdr>
    </w:div>
    <w:div w:id="974339060">
      <w:bodyDiv w:val="1"/>
      <w:marLeft w:val="0"/>
      <w:marRight w:val="0"/>
      <w:marTop w:val="0"/>
      <w:marBottom w:val="0"/>
      <w:divBdr>
        <w:top w:val="none" w:sz="0" w:space="0" w:color="auto"/>
        <w:left w:val="none" w:sz="0" w:space="0" w:color="auto"/>
        <w:bottom w:val="none" w:sz="0" w:space="0" w:color="auto"/>
        <w:right w:val="none" w:sz="0" w:space="0" w:color="auto"/>
      </w:divBdr>
    </w:div>
    <w:div w:id="1033309215">
      <w:bodyDiv w:val="1"/>
      <w:marLeft w:val="0"/>
      <w:marRight w:val="0"/>
      <w:marTop w:val="0"/>
      <w:marBottom w:val="0"/>
      <w:divBdr>
        <w:top w:val="none" w:sz="0" w:space="0" w:color="auto"/>
        <w:left w:val="none" w:sz="0" w:space="0" w:color="auto"/>
        <w:bottom w:val="none" w:sz="0" w:space="0" w:color="auto"/>
        <w:right w:val="none" w:sz="0" w:space="0" w:color="auto"/>
      </w:divBdr>
    </w:div>
    <w:div w:id="1037580187">
      <w:bodyDiv w:val="1"/>
      <w:marLeft w:val="0"/>
      <w:marRight w:val="0"/>
      <w:marTop w:val="0"/>
      <w:marBottom w:val="0"/>
      <w:divBdr>
        <w:top w:val="none" w:sz="0" w:space="0" w:color="auto"/>
        <w:left w:val="none" w:sz="0" w:space="0" w:color="auto"/>
        <w:bottom w:val="none" w:sz="0" w:space="0" w:color="auto"/>
        <w:right w:val="none" w:sz="0" w:space="0" w:color="auto"/>
      </w:divBdr>
    </w:div>
    <w:div w:id="1067263518">
      <w:bodyDiv w:val="1"/>
      <w:marLeft w:val="0"/>
      <w:marRight w:val="0"/>
      <w:marTop w:val="0"/>
      <w:marBottom w:val="0"/>
      <w:divBdr>
        <w:top w:val="none" w:sz="0" w:space="0" w:color="auto"/>
        <w:left w:val="none" w:sz="0" w:space="0" w:color="auto"/>
        <w:bottom w:val="none" w:sz="0" w:space="0" w:color="auto"/>
        <w:right w:val="none" w:sz="0" w:space="0" w:color="auto"/>
      </w:divBdr>
    </w:div>
    <w:div w:id="1082214590">
      <w:bodyDiv w:val="1"/>
      <w:marLeft w:val="0"/>
      <w:marRight w:val="0"/>
      <w:marTop w:val="0"/>
      <w:marBottom w:val="0"/>
      <w:divBdr>
        <w:top w:val="none" w:sz="0" w:space="0" w:color="auto"/>
        <w:left w:val="none" w:sz="0" w:space="0" w:color="auto"/>
        <w:bottom w:val="none" w:sz="0" w:space="0" w:color="auto"/>
        <w:right w:val="none" w:sz="0" w:space="0" w:color="auto"/>
      </w:divBdr>
    </w:div>
    <w:div w:id="1082601757">
      <w:bodyDiv w:val="1"/>
      <w:marLeft w:val="0"/>
      <w:marRight w:val="0"/>
      <w:marTop w:val="0"/>
      <w:marBottom w:val="0"/>
      <w:divBdr>
        <w:top w:val="none" w:sz="0" w:space="0" w:color="auto"/>
        <w:left w:val="none" w:sz="0" w:space="0" w:color="auto"/>
        <w:bottom w:val="none" w:sz="0" w:space="0" w:color="auto"/>
        <w:right w:val="none" w:sz="0" w:space="0" w:color="auto"/>
      </w:divBdr>
    </w:div>
    <w:div w:id="1092243954">
      <w:bodyDiv w:val="1"/>
      <w:marLeft w:val="0"/>
      <w:marRight w:val="0"/>
      <w:marTop w:val="0"/>
      <w:marBottom w:val="0"/>
      <w:divBdr>
        <w:top w:val="none" w:sz="0" w:space="0" w:color="auto"/>
        <w:left w:val="none" w:sz="0" w:space="0" w:color="auto"/>
        <w:bottom w:val="none" w:sz="0" w:space="0" w:color="auto"/>
        <w:right w:val="none" w:sz="0" w:space="0" w:color="auto"/>
      </w:divBdr>
    </w:div>
    <w:div w:id="1114441722">
      <w:bodyDiv w:val="1"/>
      <w:marLeft w:val="0"/>
      <w:marRight w:val="0"/>
      <w:marTop w:val="0"/>
      <w:marBottom w:val="0"/>
      <w:divBdr>
        <w:top w:val="none" w:sz="0" w:space="0" w:color="auto"/>
        <w:left w:val="none" w:sz="0" w:space="0" w:color="auto"/>
        <w:bottom w:val="none" w:sz="0" w:space="0" w:color="auto"/>
        <w:right w:val="none" w:sz="0" w:space="0" w:color="auto"/>
      </w:divBdr>
    </w:div>
    <w:div w:id="1137868757">
      <w:bodyDiv w:val="1"/>
      <w:marLeft w:val="0"/>
      <w:marRight w:val="0"/>
      <w:marTop w:val="0"/>
      <w:marBottom w:val="0"/>
      <w:divBdr>
        <w:top w:val="none" w:sz="0" w:space="0" w:color="auto"/>
        <w:left w:val="none" w:sz="0" w:space="0" w:color="auto"/>
        <w:bottom w:val="none" w:sz="0" w:space="0" w:color="auto"/>
        <w:right w:val="none" w:sz="0" w:space="0" w:color="auto"/>
      </w:divBdr>
    </w:div>
    <w:div w:id="1213539789">
      <w:bodyDiv w:val="1"/>
      <w:marLeft w:val="0"/>
      <w:marRight w:val="0"/>
      <w:marTop w:val="0"/>
      <w:marBottom w:val="0"/>
      <w:divBdr>
        <w:top w:val="none" w:sz="0" w:space="0" w:color="auto"/>
        <w:left w:val="none" w:sz="0" w:space="0" w:color="auto"/>
        <w:bottom w:val="none" w:sz="0" w:space="0" w:color="auto"/>
        <w:right w:val="none" w:sz="0" w:space="0" w:color="auto"/>
      </w:divBdr>
    </w:div>
    <w:div w:id="1243173790">
      <w:bodyDiv w:val="1"/>
      <w:marLeft w:val="0"/>
      <w:marRight w:val="0"/>
      <w:marTop w:val="0"/>
      <w:marBottom w:val="0"/>
      <w:divBdr>
        <w:top w:val="none" w:sz="0" w:space="0" w:color="auto"/>
        <w:left w:val="none" w:sz="0" w:space="0" w:color="auto"/>
        <w:bottom w:val="none" w:sz="0" w:space="0" w:color="auto"/>
        <w:right w:val="none" w:sz="0" w:space="0" w:color="auto"/>
      </w:divBdr>
    </w:div>
    <w:div w:id="1283654089">
      <w:bodyDiv w:val="1"/>
      <w:marLeft w:val="0"/>
      <w:marRight w:val="0"/>
      <w:marTop w:val="0"/>
      <w:marBottom w:val="0"/>
      <w:divBdr>
        <w:top w:val="none" w:sz="0" w:space="0" w:color="auto"/>
        <w:left w:val="none" w:sz="0" w:space="0" w:color="auto"/>
        <w:bottom w:val="none" w:sz="0" w:space="0" w:color="auto"/>
        <w:right w:val="none" w:sz="0" w:space="0" w:color="auto"/>
      </w:divBdr>
    </w:div>
    <w:div w:id="1309361146">
      <w:bodyDiv w:val="1"/>
      <w:marLeft w:val="0"/>
      <w:marRight w:val="0"/>
      <w:marTop w:val="0"/>
      <w:marBottom w:val="0"/>
      <w:divBdr>
        <w:top w:val="none" w:sz="0" w:space="0" w:color="auto"/>
        <w:left w:val="none" w:sz="0" w:space="0" w:color="auto"/>
        <w:bottom w:val="none" w:sz="0" w:space="0" w:color="auto"/>
        <w:right w:val="none" w:sz="0" w:space="0" w:color="auto"/>
      </w:divBdr>
    </w:div>
    <w:div w:id="1310673853">
      <w:bodyDiv w:val="1"/>
      <w:marLeft w:val="0"/>
      <w:marRight w:val="0"/>
      <w:marTop w:val="0"/>
      <w:marBottom w:val="0"/>
      <w:divBdr>
        <w:top w:val="none" w:sz="0" w:space="0" w:color="auto"/>
        <w:left w:val="none" w:sz="0" w:space="0" w:color="auto"/>
        <w:bottom w:val="none" w:sz="0" w:space="0" w:color="auto"/>
        <w:right w:val="none" w:sz="0" w:space="0" w:color="auto"/>
      </w:divBdr>
    </w:div>
    <w:div w:id="1332677146">
      <w:bodyDiv w:val="1"/>
      <w:marLeft w:val="0"/>
      <w:marRight w:val="0"/>
      <w:marTop w:val="0"/>
      <w:marBottom w:val="0"/>
      <w:divBdr>
        <w:top w:val="none" w:sz="0" w:space="0" w:color="auto"/>
        <w:left w:val="none" w:sz="0" w:space="0" w:color="auto"/>
        <w:bottom w:val="none" w:sz="0" w:space="0" w:color="auto"/>
        <w:right w:val="none" w:sz="0" w:space="0" w:color="auto"/>
      </w:divBdr>
    </w:div>
    <w:div w:id="1348563388">
      <w:bodyDiv w:val="1"/>
      <w:marLeft w:val="0"/>
      <w:marRight w:val="0"/>
      <w:marTop w:val="0"/>
      <w:marBottom w:val="0"/>
      <w:divBdr>
        <w:top w:val="none" w:sz="0" w:space="0" w:color="auto"/>
        <w:left w:val="none" w:sz="0" w:space="0" w:color="auto"/>
        <w:bottom w:val="none" w:sz="0" w:space="0" w:color="auto"/>
        <w:right w:val="none" w:sz="0" w:space="0" w:color="auto"/>
      </w:divBdr>
    </w:div>
    <w:div w:id="1350641228">
      <w:bodyDiv w:val="1"/>
      <w:marLeft w:val="0"/>
      <w:marRight w:val="0"/>
      <w:marTop w:val="0"/>
      <w:marBottom w:val="0"/>
      <w:divBdr>
        <w:top w:val="none" w:sz="0" w:space="0" w:color="auto"/>
        <w:left w:val="none" w:sz="0" w:space="0" w:color="auto"/>
        <w:bottom w:val="none" w:sz="0" w:space="0" w:color="auto"/>
        <w:right w:val="none" w:sz="0" w:space="0" w:color="auto"/>
      </w:divBdr>
    </w:div>
    <w:div w:id="1369841438">
      <w:bodyDiv w:val="1"/>
      <w:marLeft w:val="0"/>
      <w:marRight w:val="0"/>
      <w:marTop w:val="0"/>
      <w:marBottom w:val="0"/>
      <w:divBdr>
        <w:top w:val="none" w:sz="0" w:space="0" w:color="auto"/>
        <w:left w:val="none" w:sz="0" w:space="0" w:color="auto"/>
        <w:bottom w:val="none" w:sz="0" w:space="0" w:color="auto"/>
        <w:right w:val="none" w:sz="0" w:space="0" w:color="auto"/>
      </w:divBdr>
    </w:div>
    <w:div w:id="1375886183">
      <w:bodyDiv w:val="1"/>
      <w:marLeft w:val="0"/>
      <w:marRight w:val="0"/>
      <w:marTop w:val="0"/>
      <w:marBottom w:val="0"/>
      <w:divBdr>
        <w:top w:val="none" w:sz="0" w:space="0" w:color="auto"/>
        <w:left w:val="none" w:sz="0" w:space="0" w:color="auto"/>
        <w:bottom w:val="none" w:sz="0" w:space="0" w:color="auto"/>
        <w:right w:val="none" w:sz="0" w:space="0" w:color="auto"/>
      </w:divBdr>
    </w:div>
    <w:div w:id="1376807577">
      <w:bodyDiv w:val="1"/>
      <w:marLeft w:val="0"/>
      <w:marRight w:val="0"/>
      <w:marTop w:val="0"/>
      <w:marBottom w:val="0"/>
      <w:divBdr>
        <w:top w:val="none" w:sz="0" w:space="0" w:color="auto"/>
        <w:left w:val="none" w:sz="0" w:space="0" w:color="auto"/>
        <w:bottom w:val="none" w:sz="0" w:space="0" w:color="auto"/>
        <w:right w:val="none" w:sz="0" w:space="0" w:color="auto"/>
      </w:divBdr>
    </w:div>
    <w:div w:id="1384477165">
      <w:marLeft w:val="0"/>
      <w:marRight w:val="0"/>
      <w:marTop w:val="0"/>
      <w:marBottom w:val="0"/>
      <w:divBdr>
        <w:top w:val="none" w:sz="0" w:space="0" w:color="auto"/>
        <w:left w:val="none" w:sz="0" w:space="0" w:color="auto"/>
        <w:bottom w:val="none" w:sz="0" w:space="0" w:color="auto"/>
        <w:right w:val="none" w:sz="0" w:space="0" w:color="auto"/>
      </w:divBdr>
    </w:div>
    <w:div w:id="1384477166">
      <w:marLeft w:val="0"/>
      <w:marRight w:val="0"/>
      <w:marTop w:val="0"/>
      <w:marBottom w:val="0"/>
      <w:divBdr>
        <w:top w:val="none" w:sz="0" w:space="0" w:color="auto"/>
        <w:left w:val="none" w:sz="0" w:space="0" w:color="auto"/>
        <w:bottom w:val="none" w:sz="0" w:space="0" w:color="auto"/>
        <w:right w:val="none" w:sz="0" w:space="0" w:color="auto"/>
      </w:divBdr>
    </w:div>
    <w:div w:id="1384477167">
      <w:marLeft w:val="0"/>
      <w:marRight w:val="0"/>
      <w:marTop w:val="0"/>
      <w:marBottom w:val="0"/>
      <w:divBdr>
        <w:top w:val="none" w:sz="0" w:space="0" w:color="auto"/>
        <w:left w:val="none" w:sz="0" w:space="0" w:color="auto"/>
        <w:bottom w:val="none" w:sz="0" w:space="0" w:color="auto"/>
        <w:right w:val="none" w:sz="0" w:space="0" w:color="auto"/>
      </w:divBdr>
    </w:div>
    <w:div w:id="1384477168">
      <w:marLeft w:val="0"/>
      <w:marRight w:val="0"/>
      <w:marTop w:val="0"/>
      <w:marBottom w:val="0"/>
      <w:divBdr>
        <w:top w:val="none" w:sz="0" w:space="0" w:color="auto"/>
        <w:left w:val="none" w:sz="0" w:space="0" w:color="auto"/>
        <w:bottom w:val="none" w:sz="0" w:space="0" w:color="auto"/>
        <w:right w:val="none" w:sz="0" w:space="0" w:color="auto"/>
      </w:divBdr>
    </w:div>
    <w:div w:id="1384477169">
      <w:marLeft w:val="0"/>
      <w:marRight w:val="0"/>
      <w:marTop w:val="0"/>
      <w:marBottom w:val="0"/>
      <w:divBdr>
        <w:top w:val="none" w:sz="0" w:space="0" w:color="auto"/>
        <w:left w:val="none" w:sz="0" w:space="0" w:color="auto"/>
        <w:bottom w:val="none" w:sz="0" w:space="0" w:color="auto"/>
        <w:right w:val="none" w:sz="0" w:space="0" w:color="auto"/>
      </w:divBdr>
    </w:div>
    <w:div w:id="1384477172">
      <w:marLeft w:val="0"/>
      <w:marRight w:val="0"/>
      <w:marTop w:val="0"/>
      <w:marBottom w:val="0"/>
      <w:divBdr>
        <w:top w:val="none" w:sz="0" w:space="0" w:color="auto"/>
        <w:left w:val="none" w:sz="0" w:space="0" w:color="auto"/>
        <w:bottom w:val="none" w:sz="0" w:space="0" w:color="auto"/>
        <w:right w:val="none" w:sz="0" w:space="0" w:color="auto"/>
      </w:divBdr>
    </w:div>
    <w:div w:id="1384477173">
      <w:marLeft w:val="0"/>
      <w:marRight w:val="0"/>
      <w:marTop w:val="0"/>
      <w:marBottom w:val="0"/>
      <w:divBdr>
        <w:top w:val="none" w:sz="0" w:space="0" w:color="auto"/>
        <w:left w:val="none" w:sz="0" w:space="0" w:color="auto"/>
        <w:bottom w:val="none" w:sz="0" w:space="0" w:color="auto"/>
        <w:right w:val="none" w:sz="0" w:space="0" w:color="auto"/>
      </w:divBdr>
    </w:div>
    <w:div w:id="1384477174">
      <w:marLeft w:val="0"/>
      <w:marRight w:val="0"/>
      <w:marTop w:val="0"/>
      <w:marBottom w:val="0"/>
      <w:divBdr>
        <w:top w:val="none" w:sz="0" w:space="0" w:color="auto"/>
        <w:left w:val="none" w:sz="0" w:space="0" w:color="auto"/>
        <w:bottom w:val="none" w:sz="0" w:space="0" w:color="auto"/>
        <w:right w:val="none" w:sz="0" w:space="0" w:color="auto"/>
      </w:divBdr>
    </w:div>
    <w:div w:id="1384477175">
      <w:marLeft w:val="0"/>
      <w:marRight w:val="0"/>
      <w:marTop w:val="0"/>
      <w:marBottom w:val="0"/>
      <w:divBdr>
        <w:top w:val="none" w:sz="0" w:space="0" w:color="auto"/>
        <w:left w:val="none" w:sz="0" w:space="0" w:color="auto"/>
        <w:bottom w:val="none" w:sz="0" w:space="0" w:color="auto"/>
        <w:right w:val="none" w:sz="0" w:space="0" w:color="auto"/>
      </w:divBdr>
    </w:div>
    <w:div w:id="1384477176">
      <w:marLeft w:val="0"/>
      <w:marRight w:val="0"/>
      <w:marTop w:val="0"/>
      <w:marBottom w:val="0"/>
      <w:divBdr>
        <w:top w:val="none" w:sz="0" w:space="0" w:color="auto"/>
        <w:left w:val="none" w:sz="0" w:space="0" w:color="auto"/>
        <w:bottom w:val="none" w:sz="0" w:space="0" w:color="auto"/>
        <w:right w:val="none" w:sz="0" w:space="0" w:color="auto"/>
      </w:divBdr>
    </w:div>
    <w:div w:id="1384477177">
      <w:marLeft w:val="0"/>
      <w:marRight w:val="0"/>
      <w:marTop w:val="0"/>
      <w:marBottom w:val="0"/>
      <w:divBdr>
        <w:top w:val="none" w:sz="0" w:space="0" w:color="auto"/>
        <w:left w:val="none" w:sz="0" w:space="0" w:color="auto"/>
        <w:bottom w:val="none" w:sz="0" w:space="0" w:color="auto"/>
        <w:right w:val="none" w:sz="0" w:space="0" w:color="auto"/>
      </w:divBdr>
      <w:divsChild>
        <w:div w:id="1384477171">
          <w:marLeft w:val="547"/>
          <w:marRight w:val="0"/>
          <w:marTop w:val="0"/>
          <w:marBottom w:val="0"/>
          <w:divBdr>
            <w:top w:val="none" w:sz="0" w:space="0" w:color="auto"/>
            <w:left w:val="none" w:sz="0" w:space="0" w:color="auto"/>
            <w:bottom w:val="none" w:sz="0" w:space="0" w:color="auto"/>
            <w:right w:val="none" w:sz="0" w:space="0" w:color="auto"/>
          </w:divBdr>
        </w:div>
        <w:div w:id="1384477216">
          <w:marLeft w:val="547"/>
          <w:marRight w:val="0"/>
          <w:marTop w:val="0"/>
          <w:marBottom w:val="0"/>
          <w:divBdr>
            <w:top w:val="none" w:sz="0" w:space="0" w:color="auto"/>
            <w:left w:val="none" w:sz="0" w:space="0" w:color="auto"/>
            <w:bottom w:val="none" w:sz="0" w:space="0" w:color="auto"/>
            <w:right w:val="none" w:sz="0" w:space="0" w:color="auto"/>
          </w:divBdr>
        </w:div>
      </w:divsChild>
    </w:div>
    <w:div w:id="1384477178">
      <w:marLeft w:val="0"/>
      <w:marRight w:val="0"/>
      <w:marTop w:val="0"/>
      <w:marBottom w:val="0"/>
      <w:divBdr>
        <w:top w:val="none" w:sz="0" w:space="0" w:color="auto"/>
        <w:left w:val="none" w:sz="0" w:space="0" w:color="auto"/>
        <w:bottom w:val="none" w:sz="0" w:space="0" w:color="auto"/>
        <w:right w:val="none" w:sz="0" w:space="0" w:color="auto"/>
      </w:divBdr>
    </w:div>
    <w:div w:id="1384477179">
      <w:marLeft w:val="0"/>
      <w:marRight w:val="0"/>
      <w:marTop w:val="0"/>
      <w:marBottom w:val="0"/>
      <w:divBdr>
        <w:top w:val="none" w:sz="0" w:space="0" w:color="auto"/>
        <w:left w:val="none" w:sz="0" w:space="0" w:color="auto"/>
        <w:bottom w:val="none" w:sz="0" w:space="0" w:color="auto"/>
        <w:right w:val="none" w:sz="0" w:space="0" w:color="auto"/>
      </w:divBdr>
    </w:div>
    <w:div w:id="1384477180">
      <w:marLeft w:val="0"/>
      <w:marRight w:val="0"/>
      <w:marTop w:val="0"/>
      <w:marBottom w:val="0"/>
      <w:divBdr>
        <w:top w:val="none" w:sz="0" w:space="0" w:color="auto"/>
        <w:left w:val="none" w:sz="0" w:space="0" w:color="auto"/>
        <w:bottom w:val="none" w:sz="0" w:space="0" w:color="auto"/>
        <w:right w:val="none" w:sz="0" w:space="0" w:color="auto"/>
      </w:divBdr>
    </w:div>
    <w:div w:id="1384477181">
      <w:marLeft w:val="0"/>
      <w:marRight w:val="0"/>
      <w:marTop w:val="0"/>
      <w:marBottom w:val="0"/>
      <w:divBdr>
        <w:top w:val="none" w:sz="0" w:space="0" w:color="auto"/>
        <w:left w:val="none" w:sz="0" w:space="0" w:color="auto"/>
        <w:bottom w:val="none" w:sz="0" w:space="0" w:color="auto"/>
        <w:right w:val="none" w:sz="0" w:space="0" w:color="auto"/>
      </w:divBdr>
    </w:div>
    <w:div w:id="1384477182">
      <w:marLeft w:val="0"/>
      <w:marRight w:val="0"/>
      <w:marTop w:val="0"/>
      <w:marBottom w:val="0"/>
      <w:divBdr>
        <w:top w:val="none" w:sz="0" w:space="0" w:color="auto"/>
        <w:left w:val="none" w:sz="0" w:space="0" w:color="auto"/>
        <w:bottom w:val="none" w:sz="0" w:space="0" w:color="auto"/>
        <w:right w:val="none" w:sz="0" w:space="0" w:color="auto"/>
      </w:divBdr>
    </w:div>
    <w:div w:id="1384477183">
      <w:marLeft w:val="0"/>
      <w:marRight w:val="0"/>
      <w:marTop w:val="0"/>
      <w:marBottom w:val="0"/>
      <w:divBdr>
        <w:top w:val="none" w:sz="0" w:space="0" w:color="auto"/>
        <w:left w:val="none" w:sz="0" w:space="0" w:color="auto"/>
        <w:bottom w:val="none" w:sz="0" w:space="0" w:color="auto"/>
        <w:right w:val="none" w:sz="0" w:space="0" w:color="auto"/>
      </w:divBdr>
    </w:div>
    <w:div w:id="1384477184">
      <w:marLeft w:val="0"/>
      <w:marRight w:val="0"/>
      <w:marTop w:val="0"/>
      <w:marBottom w:val="0"/>
      <w:divBdr>
        <w:top w:val="none" w:sz="0" w:space="0" w:color="auto"/>
        <w:left w:val="none" w:sz="0" w:space="0" w:color="auto"/>
        <w:bottom w:val="none" w:sz="0" w:space="0" w:color="auto"/>
        <w:right w:val="none" w:sz="0" w:space="0" w:color="auto"/>
      </w:divBdr>
    </w:div>
    <w:div w:id="1384477185">
      <w:marLeft w:val="0"/>
      <w:marRight w:val="0"/>
      <w:marTop w:val="0"/>
      <w:marBottom w:val="0"/>
      <w:divBdr>
        <w:top w:val="none" w:sz="0" w:space="0" w:color="auto"/>
        <w:left w:val="none" w:sz="0" w:space="0" w:color="auto"/>
        <w:bottom w:val="none" w:sz="0" w:space="0" w:color="auto"/>
        <w:right w:val="none" w:sz="0" w:space="0" w:color="auto"/>
      </w:divBdr>
    </w:div>
    <w:div w:id="1384477186">
      <w:marLeft w:val="0"/>
      <w:marRight w:val="0"/>
      <w:marTop w:val="0"/>
      <w:marBottom w:val="0"/>
      <w:divBdr>
        <w:top w:val="none" w:sz="0" w:space="0" w:color="auto"/>
        <w:left w:val="none" w:sz="0" w:space="0" w:color="auto"/>
        <w:bottom w:val="none" w:sz="0" w:space="0" w:color="auto"/>
        <w:right w:val="none" w:sz="0" w:space="0" w:color="auto"/>
      </w:divBdr>
    </w:div>
    <w:div w:id="1384477187">
      <w:marLeft w:val="0"/>
      <w:marRight w:val="0"/>
      <w:marTop w:val="0"/>
      <w:marBottom w:val="0"/>
      <w:divBdr>
        <w:top w:val="none" w:sz="0" w:space="0" w:color="auto"/>
        <w:left w:val="none" w:sz="0" w:space="0" w:color="auto"/>
        <w:bottom w:val="none" w:sz="0" w:space="0" w:color="auto"/>
        <w:right w:val="none" w:sz="0" w:space="0" w:color="auto"/>
      </w:divBdr>
    </w:div>
    <w:div w:id="1384477188">
      <w:marLeft w:val="0"/>
      <w:marRight w:val="0"/>
      <w:marTop w:val="0"/>
      <w:marBottom w:val="0"/>
      <w:divBdr>
        <w:top w:val="none" w:sz="0" w:space="0" w:color="auto"/>
        <w:left w:val="none" w:sz="0" w:space="0" w:color="auto"/>
        <w:bottom w:val="none" w:sz="0" w:space="0" w:color="auto"/>
        <w:right w:val="none" w:sz="0" w:space="0" w:color="auto"/>
      </w:divBdr>
    </w:div>
    <w:div w:id="1384477189">
      <w:marLeft w:val="0"/>
      <w:marRight w:val="0"/>
      <w:marTop w:val="0"/>
      <w:marBottom w:val="0"/>
      <w:divBdr>
        <w:top w:val="none" w:sz="0" w:space="0" w:color="auto"/>
        <w:left w:val="none" w:sz="0" w:space="0" w:color="auto"/>
        <w:bottom w:val="none" w:sz="0" w:space="0" w:color="auto"/>
        <w:right w:val="none" w:sz="0" w:space="0" w:color="auto"/>
      </w:divBdr>
    </w:div>
    <w:div w:id="1384477190">
      <w:marLeft w:val="0"/>
      <w:marRight w:val="0"/>
      <w:marTop w:val="0"/>
      <w:marBottom w:val="0"/>
      <w:divBdr>
        <w:top w:val="none" w:sz="0" w:space="0" w:color="auto"/>
        <w:left w:val="none" w:sz="0" w:space="0" w:color="auto"/>
        <w:bottom w:val="none" w:sz="0" w:space="0" w:color="auto"/>
        <w:right w:val="none" w:sz="0" w:space="0" w:color="auto"/>
      </w:divBdr>
    </w:div>
    <w:div w:id="1384477191">
      <w:marLeft w:val="0"/>
      <w:marRight w:val="0"/>
      <w:marTop w:val="0"/>
      <w:marBottom w:val="0"/>
      <w:divBdr>
        <w:top w:val="none" w:sz="0" w:space="0" w:color="auto"/>
        <w:left w:val="none" w:sz="0" w:space="0" w:color="auto"/>
        <w:bottom w:val="none" w:sz="0" w:space="0" w:color="auto"/>
        <w:right w:val="none" w:sz="0" w:space="0" w:color="auto"/>
      </w:divBdr>
    </w:div>
    <w:div w:id="1384477192">
      <w:marLeft w:val="0"/>
      <w:marRight w:val="0"/>
      <w:marTop w:val="0"/>
      <w:marBottom w:val="0"/>
      <w:divBdr>
        <w:top w:val="none" w:sz="0" w:space="0" w:color="auto"/>
        <w:left w:val="none" w:sz="0" w:space="0" w:color="auto"/>
        <w:bottom w:val="none" w:sz="0" w:space="0" w:color="auto"/>
        <w:right w:val="none" w:sz="0" w:space="0" w:color="auto"/>
      </w:divBdr>
    </w:div>
    <w:div w:id="1384477193">
      <w:marLeft w:val="0"/>
      <w:marRight w:val="0"/>
      <w:marTop w:val="0"/>
      <w:marBottom w:val="0"/>
      <w:divBdr>
        <w:top w:val="none" w:sz="0" w:space="0" w:color="auto"/>
        <w:left w:val="none" w:sz="0" w:space="0" w:color="auto"/>
        <w:bottom w:val="none" w:sz="0" w:space="0" w:color="auto"/>
        <w:right w:val="none" w:sz="0" w:space="0" w:color="auto"/>
      </w:divBdr>
    </w:div>
    <w:div w:id="1384477194">
      <w:marLeft w:val="0"/>
      <w:marRight w:val="0"/>
      <w:marTop w:val="0"/>
      <w:marBottom w:val="0"/>
      <w:divBdr>
        <w:top w:val="none" w:sz="0" w:space="0" w:color="auto"/>
        <w:left w:val="none" w:sz="0" w:space="0" w:color="auto"/>
        <w:bottom w:val="none" w:sz="0" w:space="0" w:color="auto"/>
        <w:right w:val="none" w:sz="0" w:space="0" w:color="auto"/>
      </w:divBdr>
    </w:div>
    <w:div w:id="1384477195">
      <w:marLeft w:val="0"/>
      <w:marRight w:val="0"/>
      <w:marTop w:val="0"/>
      <w:marBottom w:val="0"/>
      <w:divBdr>
        <w:top w:val="none" w:sz="0" w:space="0" w:color="auto"/>
        <w:left w:val="none" w:sz="0" w:space="0" w:color="auto"/>
        <w:bottom w:val="none" w:sz="0" w:space="0" w:color="auto"/>
        <w:right w:val="none" w:sz="0" w:space="0" w:color="auto"/>
      </w:divBdr>
    </w:div>
    <w:div w:id="1384477196">
      <w:marLeft w:val="0"/>
      <w:marRight w:val="0"/>
      <w:marTop w:val="0"/>
      <w:marBottom w:val="0"/>
      <w:divBdr>
        <w:top w:val="none" w:sz="0" w:space="0" w:color="auto"/>
        <w:left w:val="none" w:sz="0" w:space="0" w:color="auto"/>
        <w:bottom w:val="none" w:sz="0" w:space="0" w:color="auto"/>
        <w:right w:val="none" w:sz="0" w:space="0" w:color="auto"/>
      </w:divBdr>
      <w:divsChild>
        <w:div w:id="1384477170">
          <w:marLeft w:val="0"/>
          <w:marRight w:val="0"/>
          <w:marTop w:val="0"/>
          <w:marBottom w:val="0"/>
          <w:divBdr>
            <w:top w:val="none" w:sz="0" w:space="0" w:color="auto"/>
            <w:left w:val="none" w:sz="0" w:space="0" w:color="auto"/>
            <w:bottom w:val="none" w:sz="0" w:space="0" w:color="auto"/>
            <w:right w:val="none" w:sz="0" w:space="0" w:color="auto"/>
          </w:divBdr>
          <w:divsChild>
            <w:div w:id="138447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477197">
      <w:marLeft w:val="0"/>
      <w:marRight w:val="0"/>
      <w:marTop w:val="0"/>
      <w:marBottom w:val="0"/>
      <w:divBdr>
        <w:top w:val="none" w:sz="0" w:space="0" w:color="auto"/>
        <w:left w:val="none" w:sz="0" w:space="0" w:color="auto"/>
        <w:bottom w:val="none" w:sz="0" w:space="0" w:color="auto"/>
        <w:right w:val="none" w:sz="0" w:space="0" w:color="auto"/>
      </w:divBdr>
    </w:div>
    <w:div w:id="1384477198">
      <w:marLeft w:val="0"/>
      <w:marRight w:val="0"/>
      <w:marTop w:val="0"/>
      <w:marBottom w:val="0"/>
      <w:divBdr>
        <w:top w:val="none" w:sz="0" w:space="0" w:color="auto"/>
        <w:left w:val="none" w:sz="0" w:space="0" w:color="auto"/>
        <w:bottom w:val="none" w:sz="0" w:space="0" w:color="auto"/>
        <w:right w:val="none" w:sz="0" w:space="0" w:color="auto"/>
      </w:divBdr>
    </w:div>
    <w:div w:id="1384477199">
      <w:marLeft w:val="0"/>
      <w:marRight w:val="0"/>
      <w:marTop w:val="0"/>
      <w:marBottom w:val="0"/>
      <w:divBdr>
        <w:top w:val="none" w:sz="0" w:space="0" w:color="auto"/>
        <w:left w:val="none" w:sz="0" w:space="0" w:color="auto"/>
        <w:bottom w:val="none" w:sz="0" w:space="0" w:color="auto"/>
        <w:right w:val="none" w:sz="0" w:space="0" w:color="auto"/>
      </w:divBdr>
    </w:div>
    <w:div w:id="1384477200">
      <w:marLeft w:val="0"/>
      <w:marRight w:val="0"/>
      <w:marTop w:val="0"/>
      <w:marBottom w:val="0"/>
      <w:divBdr>
        <w:top w:val="none" w:sz="0" w:space="0" w:color="auto"/>
        <w:left w:val="none" w:sz="0" w:space="0" w:color="auto"/>
        <w:bottom w:val="none" w:sz="0" w:space="0" w:color="auto"/>
        <w:right w:val="none" w:sz="0" w:space="0" w:color="auto"/>
      </w:divBdr>
    </w:div>
    <w:div w:id="1384477201">
      <w:marLeft w:val="0"/>
      <w:marRight w:val="0"/>
      <w:marTop w:val="0"/>
      <w:marBottom w:val="0"/>
      <w:divBdr>
        <w:top w:val="none" w:sz="0" w:space="0" w:color="auto"/>
        <w:left w:val="none" w:sz="0" w:space="0" w:color="auto"/>
        <w:bottom w:val="none" w:sz="0" w:space="0" w:color="auto"/>
        <w:right w:val="none" w:sz="0" w:space="0" w:color="auto"/>
      </w:divBdr>
    </w:div>
    <w:div w:id="1384477202">
      <w:marLeft w:val="0"/>
      <w:marRight w:val="0"/>
      <w:marTop w:val="0"/>
      <w:marBottom w:val="0"/>
      <w:divBdr>
        <w:top w:val="none" w:sz="0" w:space="0" w:color="auto"/>
        <w:left w:val="none" w:sz="0" w:space="0" w:color="auto"/>
        <w:bottom w:val="none" w:sz="0" w:space="0" w:color="auto"/>
        <w:right w:val="none" w:sz="0" w:space="0" w:color="auto"/>
      </w:divBdr>
    </w:div>
    <w:div w:id="1384477203">
      <w:marLeft w:val="0"/>
      <w:marRight w:val="0"/>
      <w:marTop w:val="0"/>
      <w:marBottom w:val="0"/>
      <w:divBdr>
        <w:top w:val="none" w:sz="0" w:space="0" w:color="auto"/>
        <w:left w:val="none" w:sz="0" w:space="0" w:color="auto"/>
        <w:bottom w:val="none" w:sz="0" w:space="0" w:color="auto"/>
        <w:right w:val="none" w:sz="0" w:space="0" w:color="auto"/>
      </w:divBdr>
    </w:div>
    <w:div w:id="1384477204">
      <w:marLeft w:val="0"/>
      <w:marRight w:val="0"/>
      <w:marTop w:val="0"/>
      <w:marBottom w:val="0"/>
      <w:divBdr>
        <w:top w:val="none" w:sz="0" w:space="0" w:color="auto"/>
        <w:left w:val="none" w:sz="0" w:space="0" w:color="auto"/>
        <w:bottom w:val="none" w:sz="0" w:space="0" w:color="auto"/>
        <w:right w:val="none" w:sz="0" w:space="0" w:color="auto"/>
      </w:divBdr>
    </w:div>
    <w:div w:id="1384477205">
      <w:marLeft w:val="0"/>
      <w:marRight w:val="0"/>
      <w:marTop w:val="0"/>
      <w:marBottom w:val="0"/>
      <w:divBdr>
        <w:top w:val="none" w:sz="0" w:space="0" w:color="auto"/>
        <w:left w:val="none" w:sz="0" w:space="0" w:color="auto"/>
        <w:bottom w:val="none" w:sz="0" w:space="0" w:color="auto"/>
        <w:right w:val="none" w:sz="0" w:space="0" w:color="auto"/>
      </w:divBdr>
    </w:div>
    <w:div w:id="1384477206">
      <w:marLeft w:val="0"/>
      <w:marRight w:val="0"/>
      <w:marTop w:val="0"/>
      <w:marBottom w:val="0"/>
      <w:divBdr>
        <w:top w:val="none" w:sz="0" w:space="0" w:color="auto"/>
        <w:left w:val="none" w:sz="0" w:space="0" w:color="auto"/>
        <w:bottom w:val="none" w:sz="0" w:space="0" w:color="auto"/>
        <w:right w:val="none" w:sz="0" w:space="0" w:color="auto"/>
      </w:divBdr>
    </w:div>
    <w:div w:id="1384477207">
      <w:marLeft w:val="0"/>
      <w:marRight w:val="0"/>
      <w:marTop w:val="0"/>
      <w:marBottom w:val="0"/>
      <w:divBdr>
        <w:top w:val="none" w:sz="0" w:space="0" w:color="auto"/>
        <w:left w:val="none" w:sz="0" w:space="0" w:color="auto"/>
        <w:bottom w:val="none" w:sz="0" w:space="0" w:color="auto"/>
        <w:right w:val="none" w:sz="0" w:space="0" w:color="auto"/>
      </w:divBdr>
    </w:div>
    <w:div w:id="1384477208">
      <w:marLeft w:val="0"/>
      <w:marRight w:val="0"/>
      <w:marTop w:val="0"/>
      <w:marBottom w:val="0"/>
      <w:divBdr>
        <w:top w:val="none" w:sz="0" w:space="0" w:color="auto"/>
        <w:left w:val="none" w:sz="0" w:space="0" w:color="auto"/>
        <w:bottom w:val="none" w:sz="0" w:space="0" w:color="auto"/>
        <w:right w:val="none" w:sz="0" w:space="0" w:color="auto"/>
      </w:divBdr>
    </w:div>
    <w:div w:id="1384477209">
      <w:marLeft w:val="0"/>
      <w:marRight w:val="0"/>
      <w:marTop w:val="0"/>
      <w:marBottom w:val="0"/>
      <w:divBdr>
        <w:top w:val="none" w:sz="0" w:space="0" w:color="auto"/>
        <w:left w:val="none" w:sz="0" w:space="0" w:color="auto"/>
        <w:bottom w:val="none" w:sz="0" w:space="0" w:color="auto"/>
        <w:right w:val="none" w:sz="0" w:space="0" w:color="auto"/>
      </w:divBdr>
    </w:div>
    <w:div w:id="1384477210">
      <w:marLeft w:val="0"/>
      <w:marRight w:val="0"/>
      <w:marTop w:val="0"/>
      <w:marBottom w:val="0"/>
      <w:divBdr>
        <w:top w:val="none" w:sz="0" w:space="0" w:color="auto"/>
        <w:left w:val="none" w:sz="0" w:space="0" w:color="auto"/>
        <w:bottom w:val="none" w:sz="0" w:space="0" w:color="auto"/>
        <w:right w:val="none" w:sz="0" w:space="0" w:color="auto"/>
      </w:divBdr>
    </w:div>
    <w:div w:id="1384477212">
      <w:marLeft w:val="0"/>
      <w:marRight w:val="0"/>
      <w:marTop w:val="0"/>
      <w:marBottom w:val="0"/>
      <w:divBdr>
        <w:top w:val="none" w:sz="0" w:space="0" w:color="auto"/>
        <w:left w:val="none" w:sz="0" w:space="0" w:color="auto"/>
        <w:bottom w:val="none" w:sz="0" w:space="0" w:color="auto"/>
        <w:right w:val="none" w:sz="0" w:space="0" w:color="auto"/>
      </w:divBdr>
    </w:div>
    <w:div w:id="1384477213">
      <w:marLeft w:val="0"/>
      <w:marRight w:val="0"/>
      <w:marTop w:val="0"/>
      <w:marBottom w:val="0"/>
      <w:divBdr>
        <w:top w:val="none" w:sz="0" w:space="0" w:color="auto"/>
        <w:left w:val="none" w:sz="0" w:space="0" w:color="auto"/>
        <w:bottom w:val="none" w:sz="0" w:space="0" w:color="auto"/>
        <w:right w:val="none" w:sz="0" w:space="0" w:color="auto"/>
      </w:divBdr>
    </w:div>
    <w:div w:id="1384477214">
      <w:marLeft w:val="0"/>
      <w:marRight w:val="0"/>
      <w:marTop w:val="0"/>
      <w:marBottom w:val="0"/>
      <w:divBdr>
        <w:top w:val="none" w:sz="0" w:space="0" w:color="auto"/>
        <w:left w:val="none" w:sz="0" w:space="0" w:color="auto"/>
        <w:bottom w:val="none" w:sz="0" w:space="0" w:color="auto"/>
        <w:right w:val="none" w:sz="0" w:space="0" w:color="auto"/>
      </w:divBdr>
    </w:div>
    <w:div w:id="1384477215">
      <w:marLeft w:val="0"/>
      <w:marRight w:val="0"/>
      <w:marTop w:val="0"/>
      <w:marBottom w:val="0"/>
      <w:divBdr>
        <w:top w:val="none" w:sz="0" w:space="0" w:color="auto"/>
        <w:left w:val="none" w:sz="0" w:space="0" w:color="auto"/>
        <w:bottom w:val="none" w:sz="0" w:space="0" w:color="auto"/>
        <w:right w:val="none" w:sz="0" w:space="0" w:color="auto"/>
      </w:divBdr>
    </w:div>
    <w:div w:id="1384477217">
      <w:marLeft w:val="0"/>
      <w:marRight w:val="0"/>
      <w:marTop w:val="0"/>
      <w:marBottom w:val="0"/>
      <w:divBdr>
        <w:top w:val="none" w:sz="0" w:space="0" w:color="auto"/>
        <w:left w:val="none" w:sz="0" w:space="0" w:color="auto"/>
        <w:bottom w:val="none" w:sz="0" w:space="0" w:color="auto"/>
        <w:right w:val="none" w:sz="0" w:space="0" w:color="auto"/>
      </w:divBdr>
    </w:div>
    <w:div w:id="1384477218">
      <w:marLeft w:val="0"/>
      <w:marRight w:val="0"/>
      <w:marTop w:val="0"/>
      <w:marBottom w:val="0"/>
      <w:divBdr>
        <w:top w:val="none" w:sz="0" w:space="0" w:color="auto"/>
        <w:left w:val="none" w:sz="0" w:space="0" w:color="auto"/>
        <w:bottom w:val="none" w:sz="0" w:space="0" w:color="auto"/>
        <w:right w:val="none" w:sz="0" w:space="0" w:color="auto"/>
      </w:divBdr>
    </w:div>
    <w:div w:id="1384477219">
      <w:marLeft w:val="0"/>
      <w:marRight w:val="0"/>
      <w:marTop w:val="0"/>
      <w:marBottom w:val="0"/>
      <w:divBdr>
        <w:top w:val="none" w:sz="0" w:space="0" w:color="auto"/>
        <w:left w:val="none" w:sz="0" w:space="0" w:color="auto"/>
        <w:bottom w:val="none" w:sz="0" w:space="0" w:color="auto"/>
        <w:right w:val="none" w:sz="0" w:space="0" w:color="auto"/>
      </w:divBdr>
    </w:div>
    <w:div w:id="1384477220">
      <w:marLeft w:val="0"/>
      <w:marRight w:val="0"/>
      <w:marTop w:val="0"/>
      <w:marBottom w:val="0"/>
      <w:divBdr>
        <w:top w:val="none" w:sz="0" w:space="0" w:color="auto"/>
        <w:left w:val="none" w:sz="0" w:space="0" w:color="auto"/>
        <w:bottom w:val="none" w:sz="0" w:space="0" w:color="auto"/>
        <w:right w:val="none" w:sz="0" w:space="0" w:color="auto"/>
      </w:divBdr>
    </w:div>
    <w:div w:id="1384477221">
      <w:marLeft w:val="0"/>
      <w:marRight w:val="0"/>
      <w:marTop w:val="0"/>
      <w:marBottom w:val="0"/>
      <w:divBdr>
        <w:top w:val="none" w:sz="0" w:space="0" w:color="auto"/>
        <w:left w:val="none" w:sz="0" w:space="0" w:color="auto"/>
        <w:bottom w:val="none" w:sz="0" w:space="0" w:color="auto"/>
        <w:right w:val="none" w:sz="0" w:space="0" w:color="auto"/>
      </w:divBdr>
    </w:div>
    <w:div w:id="1384477222">
      <w:marLeft w:val="0"/>
      <w:marRight w:val="0"/>
      <w:marTop w:val="0"/>
      <w:marBottom w:val="0"/>
      <w:divBdr>
        <w:top w:val="none" w:sz="0" w:space="0" w:color="auto"/>
        <w:left w:val="none" w:sz="0" w:space="0" w:color="auto"/>
        <w:bottom w:val="none" w:sz="0" w:space="0" w:color="auto"/>
        <w:right w:val="none" w:sz="0" w:space="0" w:color="auto"/>
      </w:divBdr>
    </w:div>
    <w:div w:id="1384477223">
      <w:marLeft w:val="0"/>
      <w:marRight w:val="0"/>
      <w:marTop w:val="0"/>
      <w:marBottom w:val="0"/>
      <w:divBdr>
        <w:top w:val="none" w:sz="0" w:space="0" w:color="auto"/>
        <w:left w:val="none" w:sz="0" w:space="0" w:color="auto"/>
        <w:bottom w:val="none" w:sz="0" w:space="0" w:color="auto"/>
        <w:right w:val="none" w:sz="0" w:space="0" w:color="auto"/>
      </w:divBdr>
    </w:div>
    <w:div w:id="1384477224">
      <w:marLeft w:val="0"/>
      <w:marRight w:val="0"/>
      <w:marTop w:val="0"/>
      <w:marBottom w:val="0"/>
      <w:divBdr>
        <w:top w:val="none" w:sz="0" w:space="0" w:color="auto"/>
        <w:left w:val="none" w:sz="0" w:space="0" w:color="auto"/>
        <w:bottom w:val="none" w:sz="0" w:space="0" w:color="auto"/>
        <w:right w:val="none" w:sz="0" w:space="0" w:color="auto"/>
      </w:divBdr>
    </w:div>
    <w:div w:id="1384477225">
      <w:marLeft w:val="0"/>
      <w:marRight w:val="0"/>
      <w:marTop w:val="0"/>
      <w:marBottom w:val="0"/>
      <w:divBdr>
        <w:top w:val="none" w:sz="0" w:space="0" w:color="auto"/>
        <w:left w:val="none" w:sz="0" w:space="0" w:color="auto"/>
        <w:bottom w:val="none" w:sz="0" w:space="0" w:color="auto"/>
        <w:right w:val="none" w:sz="0" w:space="0" w:color="auto"/>
      </w:divBdr>
    </w:div>
    <w:div w:id="1384477226">
      <w:marLeft w:val="0"/>
      <w:marRight w:val="0"/>
      <w:marTop w:val="0"/>
      <w:marBottom w:val="0"/>
      <w:divBdr>
        <w:top w:val="none" w:sz="0" w:space="0" w:color="auto"/>
        <w:left w:val="none" w:sz="0" w:space="0" w:color="auto"/>
        <w:bottom w:val="none" w:sz="0" w:space="0" w:color="auto"/>
        <w:right w:val="none" w:sz="0" w:space="0" w:color="auto"/>
      </w:divBdr>
    </w:div>
    <w:div w:id="1384477227">
      <w:marLeft w:val="0"/>
      <w:marRight w:val="0"/>
      <w:marTop w:val="0"/>
      <w:marBottom w:val="0"/>
      <w:divBdr>
        <w:top w:val="none" w:sz="0" w:space="0" w:color="auto"/>
        <w:left w:val="none" w:sz="0" w:space="0" w:color="auto"/>
        <w:bottom w:val="none" w:sz="0" w:space="0" w:color="auto"/>
        <w:right w:val="none" w:sz="0" w:space="0" w:color="auto"/>
      </w:divBdr>
    </w:div>
    <w:div w:id="1384477228">
      <w:marLeft w:val="0"/>
      <w:marRight w:val="0"/>
      <w:marTop w:val="0"/>
      <w:marBottom w:val="0"/>
      <w:divBdr>
        <w:top w:val="none" w:sz="0" w:space="0" w:color="auto"/>
        <w:left w:val="none" w:sz="0" w:space="0" w:color="auto"/>
        <w:bottom w:val="none" w:sz="0" w:space="0" w:color="auto"/>
        <w:right w:val="none" w:sz="0" w:space="0" w:color="auto"/>
      </w:divBdr>
    </w:div>
    <w:div w:id="1384477229">
      <w:marLeft w:val="0"/>
      <w:marRight w:val="0"/>
      <w:marTop w:val="0"/>
      <w:marBottom w:val="0"/>
      <w:divBdr>
        <w:top w:val="none" w:sz="0" w:space="0" w:color="auto"/>
        <w:left w:val="none" w:sz="0" w:space="0" w:color="auto"/>
        <w:bottom w:val="none" w:sz="0" w:space="0" w:color="auto"/>
        <w:right w:val="none" w:sz="0" w:space="0" w:color="auto"/>
      </w:divBdr>
    </w:div>
    <w:div w:id="1418092417">
      <w:bodyDiv w:val="1"/>
      <w:marLeft w:val="0"/>
      <w:marRight w:val="0"/>
      <w:marTop w:val="0"/>
      <w:marBottom w:val="0"/>
      <w:divBdr>
        <w:top w:val="none" w:sz="0" w:space="0" w:color="auto"/>
        <w:left w:val="none" w:sz="0" w:space="0" w:color="auto"/>
        <w:bottom w:val="none" w:sz="0" w:space="0" w:color="auto"/>
        <w:right w:val="none" w:sz="0" w:space="0" w:color="auto"/>
      </w:divBdr>
    </w:div>
    <w:div w:id="1452675030">
      <w:bodyDiv w:val="1"/>
      <w:marLeft w:val="0"/>
      <w:marRight w:val="0"/>
      <w:marTop w:val="0"/>
      <w:marBottom w:val="0"/>
      <w:divBdr>
        <w:top w:val="none" w:sz="0" w:space="0" w:color="auto"/>
        <w:left w:val="none" w:sz="0" w:space="0" w:color="auto"/>
        <w:bottom w:val="none" w:sz="0" w:space="0" w:color="auto"/>
        <w:right w:val="none" w:sz="0" w:space="0" w:color="auto"/>
      </w:divBdr>
    </w:div>
    <w:div w:id="1458059564">
      <w:bodyDiv w:val="1"/>
      <w:marLeft w:val="0"/>
      <w:marRight w:val="0"/>
      <w:marTop w:val="0"/>
      <w:marBottom w:val="0"/>
      <w:divBdr>
        <w:top w:val="none" w:sz="0" w:space="0" w:color="auto"/>
        <w:left w:val="none" w:sz="0" w:space="0" w:color="auto"/>
        <w:bottom w:val="none" w:sz="0" w:space="0" w:color="auto"/>
        <w:right w:val="none" w:sz="0" w:space="0" w:color="auto"/>
      </w:divBdr>
    </w:div>
    <w:div w:id="1469056313">
      <w:bodyDiv w:val="1"/>
      <w:marLeft w:val="0"/>
      <w:marRight w:val="0"/>
      <w:marTop w:val="0"/>
      <w:marBottom w:val="0"/>
      <w:divBdr>
        <w:top w:val="none" w:sz="0" w:space="0" w:color="auto"/>
        <w:left w:val="none" w:sz="0" w:space="0" w:color="auto"/>
        <w:bottom w:val="none" w:sz="0" w:space="0" w:color="auto"/>
        <w:right w:val="none" w:sz="0" w:space="0" w:color="auto"/>
      </w:divBdr>
    </w:div>
    <w:div w:id="1472405813">
      <w:bodyDiv w:val="1"/>
      <w:marLeft w:val="0"/>
      <w:marRight w:val="0"/>
      <w:marTop w:val="0"/>
      <w:marBottom w:val="0"/>
      <w:divBdr>
        <w:top w:val="none" w:sz="0" w:space="0" w:color="auto"/>
        <w:left w:val="none" w:sz="0" w:space="0" w:color="auto"/>
        <w:bottom w:val="none" w:sz="0" w:space="0" w:color="auto"/>
        <w:right w:val="none" w:sz="0" w:space="0" w:color="auto"/>
      </w:divBdr>
    </w:div>
    <w:div w:id="1557427822">
      <w:bodyDiv w:val="1"/>
      <w:marLeft w:val="0"/>
      <w:marRight w:val="0"/>
      <w:marTop w:val="0"/>
      <w:marBottom w:val="0"/>
      <w:divBdr>
        <w:top w:val="none" w:sz="0" w:space="0" w:color="auto"/>
        <w:left w:val="none" w:sz="0" w:space="0" w:color="auto"/>
        <w:bottom w:val="none" w:sz="0" w:space="0" w:color="auto"/>
        <w:right w:val="none" w:sz="0" w:space="0" w:color="auto"/>
      </w:divBdr>
    </w:div>
    <w:div w:id="1561944952">
      <w:bodyDiv w:val="1"/>
      <w:marLeft w:val="0"/>
      <w:marRight w:val="0"/>
      <w:marTop w:val="0"/>
      <w:marBottom w:val="0"/>
      <w:divBdr>
        <w:top w:val="none" w:sz="0" w:space="0" w:color="auto"/>
        <w:left w:val="none" w:sz="0" w:space="0" w:color="auto"/>
        <w:bottom w:val="none" w:sz="0" w:space="0" w:color="auto"/>
        <w:right w:val="none" w:sz="0" w:space="0" w:color="auto"/>
      </w:divBdr>
    </w:div>
    <w:div w:id="1563638941">
      <w:bodyDiv w:val="1"/>
      <w:marLeft w:val="0"/>
      <w:marRight w:val="0"/>
      <w:marTop w:val="0"/>
      <w:marBottom w:val="0"/>
      <w:divBdr>
        <w:top w:val="none" w:sz="0" w:space="0" w:color="auto"/>
        <w:left w:val="none" w:sz="0" w:space="0" w:color="auto"/>
        <w:bottom w:val="none" w:sz="0" w:space="0" w:color="auto"/>
        <w:right w:val="none" w:sz="0" w:space="0" w:color="auto"/>
      </w:divBdr>
    </w:div>
    <w:div w:id="1585871518">
      <w:bodyDiv w:val="1"/>
      <w:marLeft w:val="0"/>
      <w:marRight w:val="0"/>
      <w:marTop w:val="0"/>
      <w:marBottom w:val="0"/>
      <w:divBdr>
        <w:top w:val="none" w:sz="0" w:space="0" w:color="auto"/>
        <w:left w:val="none" w:sz="0" w:space="0" w:color="auto"/>
        <w:bottom w:val="none" w:sz="0" w:space="0" w:color="auto"/>
        <w:right w:val="none" w:sz="0" w:space="0" w:color="auto"/>
      </w:divBdr>
    </w:div>
    <w:div w:id="1603029362">
      <w:bodyDiv w:val="1"/>
      <w:marLeft w:val="0"/>
      <w:marRight w:val="0"/>
      <w:marTop w:val="0"/>
      <w:marBottom w:val="0"/>
      <w:divBdr>
        <w:top w:val="none" w:sz="0" w:space="0" w:color="auto"/>
        <w:left w:val="none" w:sz="0" w:space="0" w:color="auto"/>
        <w:bottom w:val="none" w:sz="0" w:space="0" w:color="auto"/>
        <w:right w:val="none" w:sz="0" w:space="0" w:color="auto"/>
      </w:divBdr>
    </w:div>
    <w:div w:id="1621916072">
      <w:bodyDiv w:val="1"/>
      <w:marLeft w:val="0"/>
      <w:marRight w:val="0"/>
      <w:marTop w:val="0"/>
      <w:marBottom w:val="0"/>
      <w:divBdr>
        <w:top w:val="none" w:sz="0" w:space="0" w:color="auto"/>
        <w:left w:val="none" w:sz="0" w:space="0" w:color="auto"/>
        <w:bottom w:val="none" w:sz="0" w:space="0" w:color="auto"/>
        <w:right w:val="none" w:sz="0" w:space="0" w:color="auto"/>
      </w:divBdr>
    </w:div>
    <w:div w:id="1622758817">
      <w:bodyDiv w:val="1"/>
      <w:marLeft w:val="0"/>
      <w:marRight w:val="0"/>
      <w:marTop w:val="0"/>
      <w:marBottom w:val="0"/>
      <w:divBdr>
        <w:top w:val="none" w:sz="0" w:space="0" w:color="auto"/>
        <w:left w:val="none" w:sz="0" w:space="0" w:color="auto"/>
        <w:bottom w:val="none" w:sz="0" w:space="0" w:color="auto"/>
        <w:right w:val="none" w:sz="0" w:space="0" w:color="auto"/>
      </w:divBdr>
    </w:div>
    <w:div w:id="1647011520">
      <w:bodyDiv w:val="1"/>
      <w:marLeft w:val="0"/>
      <w:marRight w:val="0"/>
      <w:marTop w:val="0"/>
      <w:marBottom w:val="0"/>
      <w:divBdr>
        <w:top w:val="none" w:sz="0" w:space="0" w:color="auto"/>
        <w:left w:val="none" w:sz="0" w:space="0" w:color="auto"/>
        <w:bottom w:val="none" w:sz="0" w:space="0" w:color="auto"/>
        <w:right w:val="none" w:sz="0" w:space="0" w:color="auto"/>
      </w:divBdr>
    </w:div>
    <w:div w:id="1712463474">
      <w:bodyDiv w:val="1"/>
      <w:marLeft w:val="0"/>
      <w:marRight w:val="0"/>
      <w:marTop w:val="0"/>
      <w:marBottom w:val="0"/>
      <w:divBdr>
        <w:top w:val="none" w:sz="0" w:space="0" w:color="auto"/>
        <w:left w:val="none" w:sz="0" w:space="0" w:color="auto"/>
        <w:bottom w:val="none" w:sz="0" w:space="0" w:color="auto"/>
        <w:right w:val="none" w:sz="0" w:space="0" w:color="auto"/>
      </w:divBdr>
    </w:div>
    <w:div w:id="1715420544">
      <w:bodyDiv w:val="1"/>
      <w:marLeft w:val="0"/>
      <w:marRight w:val="0"/>
      <w:marTop w:val="0"/>
      <w:marBottom w:val="0"/>
      <w:divBdr>
        <w:top w:val="none" w:sz="0" w:space="0" w:color="auto"/>
        <w:left w:val="none" w:sz="0" w:space="0" w:color="auto"/>
        <w:bottom w:val="none" w:sz="0" w:space="0" w:color="auto"/>
        <w:right w:val="none" w:sz="0" w:space="0" w:color="auto"/>
      </w:divBdr>
    </w:div>
    <w:div w:id="1721899726">
      <w:bodyDiv w:val="1"/>
      <w:marLeft w:val="0"/>
      <w:marRight w:val="0"/>
      <w:marTop w:val="0"/>
      <w:marBottom w:val="0"/>
      <w:divBdr>
        <w:top w:val="none" w:sz="0" w:space="0" w:color="auto"/>
        <w:left w:val="none" w:sz="0" w:space="0" w:color="auto"/>
        <w:bottom w:val="none" w:sz="0" w:space="0" w:color="auto"/>
        <w:right w:val="none" w:sz="0" w:space="0" w:color="auto"/>
      </w:divBdr>
    </w:div>
    <w:div w:id="1770153875">
      <w:bodyDiv w:val="1"/>
      <w:marLeft w:val="0"/>
      <w:marRight w:val="0"/>
      <w:marTop w:val="0"/>
      <w:marBottom w:val="0"/>
      <w:divBdr>
        <w:top w:val="none" w:sz="0" w:space="0" w:color="auto"/>
        <w:left w:val="none" w:sz="0" w:space="0" w:color="auto"/>
        <w:bottom w:val="none" w:sz="0" w:space="0" w:color="auto"/>
        <w:right w:val="none" w:sz="0" w:space="0" w:color="auto"/>
      </w:divBdr>
    </w:div>
    <w:div w:id="1789426472">
      <w:bodyDiv w:val="1"/>
      <w:marLeft w:val="0"/>
      <w:marRight w:val="0"/>
      <w:marTop w:val="0"/>
      <w:marBottom w:val="0"/>
      <w:divBdr>
        <w:top w:val="none" w:sz="0" w:space="0" w:color="auto"/>
        <w:left w:val="none" w:sz="0" w:space="0" w:color="auto"/>
        <w:bottom w:val="none" w:sz="0" w:space="0" w:color="auto"/>
        <w:right w:val="none" w:sz="0" w:space="0" w:color="auto"/>
      </w:divBdr>
    </w:div>
    <w:div w:id="1798063132">
      <w:bodyDiv w:val="1"/>
      <w:marLeft w:val="0"/>
      <w:marRight w:val="0"/>
      <w:marTop w:val="0"/>
      <w:marBottom w:val="0"/>
      <w:divBdr>
        <w:top w:val="none" w:sz="0" w:space="0" w:color="auto"/>
        <w:left w:val="none" w:sz="0" w:space="0" w:color="auto"/>
        <w:bottom w:val="none" w:sz="0" w:space="0" w:color="auto"/>
        <w:right w:val="none" w:sz="0" w:space="0" w:color="auto"/>
      </w:divBdr>
    </w:div>
    <w:div w:id="1801457015">
      <w:bodyDiv w:val="1"/>
      <w:marLeft w:val="0"/>
      <w:marRight w:val="0"/>
      <w:marTop w:val="0"/>
      <w:marBottom w:val="0"/>
      <w:divBdr>
        <w:top w:val="none" w:sz="0" w:space="0" w:color="auto"/>
        <w:left w:val="none" w:sz="0" w:space="0" w:color="auto"/>
        <w:bottom w:val="none" w:sz="0" w:space="0" w:color="auto"/>
        <w:right w:val="none" w:sz="0" w:space="0" w:color="auto"/>
      </w:divBdr>
    </w:div>
    <w:div w:id="1824615988">
      <w:bodyDiv w:val="1"/>
      <w:marLeft w:val="0"/>
      <w:marRight w:val="0"/>
      <w:marTop w:val="0"/>
      <w:marBottom w:val="0"/>
      <w:divBdr>
        <w:top w:val="none" w:sz="0" w:space="0" w:color="auto"/>
        <w:left w:val="none" w:sz="0" w:space="0" w:color="auto"/>
        <w:bottom w:val="none" w:sz="0" w:space="0" w:color="auto"/>
        <w:right w:val="none" w:sz="0" w:space="0" w:color="auto"/>
      </w:divBdr>
    </w:div>
    <w:div w:id="1856260855">
      <w:bodyDiv w:val="1"/>
      <w:marLeft w:val="0"/>
      <w:marRight w:val="0"/>
      <w:marTop w:val="0"/>
      <w:marBottom w:val="0"/>
      <w:divBdr>
        <w:top w:val="none" w:sz="0" w:space="0" w:color="auto"/>
        <w:left w:val="none" w:sz="0" w:space="0" w:color="auto"/>
        <w:bottom w:val="none" w:sz="0" w:space="0" w:color="auto"/>
        <w:right w:val="none" w:sz="0" w:space="0" w:color="auto"/>
      </w:divBdr>
    </w:div>
    <w:div w:id="1857579019">
      <w:bodyDiv w:val="1"/>
      <w:marLeft w:val="0"/>
      <w:marRight w:val="0"/>
      <w:marTop w:val="0"/>
      <w:marBottom w:val="0"/>
      <w:divBdr>
        <w:top w:val="none" w:sz="0" w:space="0" w:color="auto"/>
        <w:left w:val="none" w:sz="0" w:space="0" w:color="auto"/>
        <w:bottom w:val="none" w:sz="0" w:space="0" w:color="auto"/>
        <w:right w:val="none" w:sz="0" w:space="0" w:color="auto"/>
      </w:divBdr>
    </w:div>
    <w:div w:id="1860122895">
      <w:bodyDiv w:val="1"/>
      <w:marLeft w:val="0"/>
      <w:marRight w:val="0"/>
      <w:marTop w:val="0"/>
      <w:marBottom w:val="0"/>
      <w:divBdr>
        <w:top w:val="none" w:sz="0" w:space="0" w:color="auto"/>
        <w:left w:val="none" w:sz="0" w:space="0" w:color="auto"/>
        <w:bottom w:val="none" w:sz="0" w:space="0" w:color="auto"/>
        <w:right w:val="none" w:sz="0" w:space="0" w:color="auto"/>
      </w:divBdr>
    </w:div>
    <w:div w:id="1914313590">
      <w:bodyDiv w:val="1"/>
      <w:marLeft w:val="0"/>
      <w:marRight w:val="0"/>
      <w:marTop w:val="0"/>
      <w:marBottom w:val="0"/>
      <w:divBdr>
        <w:top w:val="none" w:sz="0" w:space="0" w:color="auto"/>
        <w:left w:val="none" w:sz="0" w:space="0" w:color="auto"/>
        <w:bottom w:val="none" w:sz="0" w:space="0" w:color="auto"/>
        <w:right w:val="none" w:sz="0" w:space="0" w:color="auto"/>
      </w:divBdr>
    </w:div>
    <w:div w:id="1918590105">
      <w:bodyDiv w:val="1"/>
      <w:marLeft w:val="0"/>
      <w:marRight w:val="0"/>
      <w:marTop w:val="0"/>
      <w:marBottom w:val="0"/>
      <w:divBdr>
        <w:top w:val="none" w:sz="0" w:space="0" w:color="auto"/>
        <w:left w:val="none" w:sz="0" w:space="0" w:color="auto"/>
        <w:bottom w:val="none" w:sz="0" w:space="0" w:color="auto"/>
        <w:right w:val="none" w:sz="0" w:space="0" w:color="auto"/>
      </w:divBdr>
    </w:div>
    <w:div w:id="1939411837">
      <w:bodyDiv w:val="1"/>
      <w:marLeft w:val="0"/>
      <w:marRight w:val="0"/>
      <w:marTop w:val="0"/>
      <w:marBottom w:val="0"/>
      <w:divBdr>
        <w:top w:val="none" w:sz="0" w:space="0" w:color="auto"/>
        <w:left w:val="none" w:sz="0" w:space="0" w:color="auto"/>
        <w:bottom w:val="none" w:sz="0" w:space="0" w:color="auto"/>
        <w:right w:val="none" w:sz="0" w:space="0" w:color="auto"/>
      </w:divBdr>
    </w:div>
    <w:div w:id="1946880383">
      <w:bodyDiv w:val="1"/>
      <w:marLeft w:val="0"/>
      <w:marRight w:val="0"/>
      <w:marTop w:val="0"/>
      <w:marBottom w:val="0"/>
      <w:divBdr>
        <w:top w:val="none" w:sz="0" w:space="0" w:color="auto"/>
        <w:left w:val="none" w:sz="0" w:space="0" w:color="auto"/>
        <w:bottom w:val="none" w:sz="0" w:space="0" w:color="auto"/>
        <w:right w:val="none" w:sz="0" w:space="0" w:color="auto"/>
      </w:divBdr>
    </w:div>
    <w:div w:id="1947688749">
      <w:bodyDiv w:val="1"/>
      <w:marLeft w:val="0"/>
      <w:marRight w:val="0"/>
      <w:marTop w:val="0"/>
      <w:marBottom w:val="0"/>
      <w:divBdr>
        <w:top w:val="none" w:sz="0" w:space="0" w:color="auto"/>
        <w:left w:val="none" w:sz="0" w:space="0" w:color="auto"/>
        <w:bottom w:val="none" w:sz="0" w:space="0" w:color="auto"/>
        <w:right w:val="none" w:sz="0" w:space="0" w:color="auto"/>
      </w:divBdr>
    </w:div>
    <w:div w:id="1947738198">
      <w:bodyDiv w:val="1"/>
      <w:marLeft w:val="0"/>
      <w:marRight w:val="0"/>
      <w:marTop w:val="0"/>
      <w:marBottom w:val="0"/>
      <w:divBdr>
        <w:top w:val="none" w:sz="0" w:space="0" w:color="auto"/>
        <w:left w:val="none" w:sz="0" w:space="0" w:color="auto"/>
        <w:bottom w:val="none" w:sz="0" w:space="0" w:color="auto"/>
        <w:right w:val="none" w:sz="0" w:space="0" w:color="auto"/>
      </w:divBdr>
    </w:div>
    <w:div w:id="1948924189">
      <w:bodyDiv w:val="1"/>
      <w:marLeft w:val="0"/>
      <w:marRight w:val="0"/>
      <w:marTop w:val="0"/>
      <w:marBottom w:val="0"/>
      <w:divBdr>
        <w:top w:val="none" w:sz="0" w:space="0" w:color="auto"/>
        <w:left w:val="none" w:sz="0" w:space="0" w:color="auto"/>
        <w:bottom w:val="none" w:sz="0" w:space="0" w:color="auto"/>
        <w:right w:val="none" w:sz="0" w:space="0" w:color="auto"/>
      </w:divBdr>
    </w:div>
    <w:div w:id="1988389605">
      <w:bodyDiv w:val="1"/>
      <w:marLeft w:val="0"/>
      <w:marRight w:val="0"/>
      <w:marTop w:val="0"/>
      <w:marBottom w:val="0"/>
      <w:divBdr>
        <w:top w:val="none" w:sz="0" w:space="0" w:color="auto"/>
        <w:left w:val="none" w:sz="0" w:space="0" w:color="auto"/>
        <w:bottom w:val="none" w:sz="0" w:space="0" w:color="auto"/>
        <w:right w:val="none" w:sz="0" w:space="0" w:color="auto"/>
      </w:divBdr>
    </w:div>
    <w:div w:id="2013291957">
      <w:bodyDiv w:val="1"/>
      <w:marLeft w:val="0"/>
      <w:marRight w:val="0"/>
      <w:marTop w:val="0"/>
      <w:marBottom w:val="0"/>
      <w:divBdr>
        <w:top w:val="none" w:sz="0" w:space="0" w:color="auto"/>
        <w:left w:val="none" w:sz="0" w:space="0" w:color="auto"/>
        <w:bottom w:val="none" w:sz="0" w:space="0" w:color="auto"/>
        <w:right w:val="none" w:sz="0" w:space="0" w:color="auto"/>
      </w:divBdr>
    </w:div>
    <w:div w:id="2071029847">
      <w:bodyDiv w:val="1"/>
      <w:marLeft w:val="0"/>
      <w:marRight w:val="0"/>
      <w:marTop w:val="0"/>
      <w:marBottom w:val="0"/>
      <w:divBdr>
        <w:top w:val="none" w:sz="0" w:space="0" w:color="auto"/>
        <w:left w:val="none" w:sz="0" w:space="0" w:color="auto"/>
        <w:bottom w:val="none" w:sz="0" w:space="0" w:color="auto"/>
        <w:right w:val="none" w:sz="0" w:space="0" w:color="auto"/>
      </w:divBdr>
    </w:div>
    <w:div w:id="2077318371">
      <w:bodyDiv w:val="1"/>
      <w:marLeft w:val="0"/>
      <w:marRight w:val="0"/>
      <w:marTop w:val="0"/>
      <w:marBottom w:val="0"/>
      <w:divBdr>
        <w:top w:val="none" w:sz="0" w:space="0" w:color="auto"/>
        <w:left w:val="none" w:sz="0" w:space="0" w:color="auto"/>
        <w:bottom w:val="none" w:sz="0" w:space="0" w:color="auto"/>
        <w:right w:val="none" w:sz="0" w:space="0" w:color="auto"/>
      </w:divBdr>
    </w:div>
    <w:div w:id="2095080518">
      <w:bodyDiv w:val="1"/>
      <w:marLeft w:val="0"/>
      <w:marRight w:val="0"/>
      <w:marTop w:val="0"/>
      <w:marBottom w:val="0"/>
      <w:divBdr>
        <w:top w:val="none" w:sz="0" w:space="0" w:color="auto"/>
        <w:left w:val="none" w:sz="0" w:space="0" w:color="auto"/>
        <w:bottom w:val="none" w:sz="0" w:space="0" w:color="auto"/>
        <w:right w:val="none" w:sz="0" w:space="0" w:color="auto"/>
      </w:divBdr>
    </w:div>
    <w:div w:id="2109809054">
      <w:bodyDiv w:val="1"/>
      <w:marLeft w:val="0"/>
      <w:marRight w:val="0"/>
      <w:marTop w:val="0"/>
      <w:marBottom w:val="0"/>
      <w:divBdr>
        <w:top w:val="none" w:sz="0" w:space="0" w:color="auto"/>
        <w:left w:val="none" w:sz="0" w:space="0" w:color="auto"/>
        <w:bottom w:val="none" w:sz="0" w:space="0" w:color="auto"/>
        <w:right w:val="none" w:sz="0" w:space="0" w:color="auto"/>
      </w:divBdr>
    </w:div>
    <w:div w:id="2113428415">
      <w:bodyDiv w:val="1"/>
      <w:marLeft w:val="0"/>
      <w:marRight w:val="0"/>
      <w:marTop w:val="0"/>
      <w:marBottom w:val="0"/>
      <w:divBdr>
        <w:top w:val="none" w:sz="0" w:space="0" w:color="auto"/>
        <w:left w:val="none" w:sz="0" w:space="0" w:color="auto"/>
        <w:bottom w:val="none" w:sz="0" w:space="0" w:color="auto"/>
        <w:right w:val="none" w:sz="0" w:space="0" w:color="auto"/>
      </w:divBdr>
    </w:div>
    <w:div w:id="2122647014">
      <w:bodyDiv w:val="1"/>
      <w:marLeft w:val="0"/>
      <w:marRight w:val="0"/>
      <w:marTop w:val="0"/>
      <w:marBottom w:val="0"/>
      <w:divBdr>
        <w:top w:val="none" w:sz="0" w:space="0" w:color="auto"/>
        <w:left w:val="none" w:sz="0" w:space="0" w:color="auto"/>
        <w:bottom w:val="none" w:sz="0" w:space="0" w:color="auto"/>
        <w:right w:val="none" w:sz="0" w:space="0" w:color="auto"/>
      </w:divBdr>
    </w:div>
    <w:div w:id="2131389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32.xml"/><Relationship Id="rId3" Type="http://schemas.openxmlformats.org/officeDocument/2006/relationships/styles" Target="styles.xml"/><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chart" Target="charts/chart35.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29" Type="http://schemas.openxmlformats.org/officeDocument/2006/relationships/chart" Target="charts/chart22.xml"/><Relationship Id="rId41" Type="http://schemas.openxmlformats.org/officeDocument/2006/relationships/chart" Target="charts/chart3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chart" Target="charts/chart33.xm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4.xm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6.xml"/></Relationships>
</file>

<file path=word/_rels/footnotes.xml.rels><?xml version="1.0" encoding="UTF-8" standalone="yes"?>
<Relationships xmlns="http://schemas.openxmlformats.org/package/2006/relationships"><Relationship Id="rId8" Type="http://schemas.openxmlformats.org/officeDocument/2006/relationships/hyperlink" Target="1.10.&#1359;&#1381;&#1394;&#1381;&#1391;&#1377;&#1398;&#1412;&#1398;&#1381;&#1408;/5.&#1337;&#1400;&#1394;&#1377;&#1408;&#1391;&#1396;&#1377;&#1398;%20&#1390;&#1377;&#1406;&#1377;&#1388;,%20&#1377;&#1408;&#1407;&#1377;&#1392;&#1377;&#1398;&#1400;&#1410;&#1396;,%20&#1398;&#1381;&#1408;&#1396;&#1400;&#1410;&#1390;&#1400;&#1410;&#1396;_2026%20I%20&#1391;&#1387;&#1405;..docx" TargetMode="External"/><Relationship Id="rId3" Type="http://schemas.openxmlformats.org/officeDocument/2006/relationships/hyperlink" Target="https://economy.gov.ru/b" TargetMode="External"/><Relationship Id="rId7" Type="http://schemas.openxmlformats.org/officeDocument/2006/relationships/hyperlink" Target="https://www.fao.org/worldfoodsituation/foodpricesindex/en/" TargetMode="External"/><Relationship Id="rId2" Type="http://schemas.openxmlformats.org/officeDocument/2006/relationships/hyperlink" Target="https://ec.europa.eu/eurostat/" TargetMode="External"/><Relationship Id="rId1" Type="http://schemas.openxmlformats.org/officeDocument/2006/relationships/hyperlink" Target="https://www.bea.gov/" TargetMode="External"/><Relationship Id="rId6" Type="http://schemas.openxmlformats.org/officeDocument/2006/relationships/hyperlink" Target="https://www.worldbank.org/en/research/commodity-markets" TargetMode="External"/><Relationship Id="rId5" Type="http://schemas.openxmlformats.org/officeDocument/2006/relationships/hyperlink" Target="https://www.fao.org/worldfoodsituation/foodpricesindex/en/" TargetMode="External"/><Relationship Id="rId4" Type="http://schemas.openxmlformats.org/officeDocument/2006/relationships/hyperlink" Target="https://www.worldbank.org/en/research/commodity-markets" TargetMode="External"/><Relationship Id="rId9" Type="http://schemas.openxmlformats.org/officeDocument/2006/relationships/hyperlink" Target="1.10.&#1359;&#1381;&#1394;&#1381;&#1391;&#1377;&#1398;&#1412;&#1398;&#1381;&#1408;/5.&#1337;&#1400;&#1394;&#1377;&#1408;&#1391;&#1396;&#1377;&#1398;%20&#1390;&#1377;&#1406;&#1377;&#1388;,%20&#1377;&#1408;&#1407;&#1377;&#1392;&#1377;&#1398;&#1400;&#1410;&#1396;,%20&#1398;&#1381;&#1408;&#1396;&#1400;&#1410;&#1390;&#1400;&#1410;&#1396;_2026%20I%20&#1391;&#1387;&#1405;..doc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4.xml"/><Relationship Id="rId1" Type="http://schemas.microsoft.com/office/2011/relationships/chartStyle" Target="style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2.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5.xml"/><Relationship Id="rId1" Type="http://schemas.microsoft.com/office/2011/relationships/chartStyle" Target="style5.xml"/></Relationships>
</file>

<file path=word/charts/_rels/chart27.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26.xlsx"/></Relationships>
</file>

<file path=word/charts/_rels/chart28.xml.rels><?xml version="1.0" encoding="UTF-8" standalone="yes"?>
<Relationships xmlns="http://schemas.openxmlformats.org/package/2006/relationships"><Relationship Id="rId3" Type="http://schemas.openxmlformats.org/officeDocument/2006/relationships/themeOverride" Target="../theme/themeOverride24.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27.xlsx"/></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5.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6.xml"/></Relationships>
</file>

<file path=word/charts/_rels/chart31.xml.rels><?xml version="1.0" encoding="UTF-8" standalone="yes"?>
<Relationships xmlns="http://schemas.openxmlformats.org/package/2006/relationships"><Relationship Id="rId3" Type="http://schemas.openxmlformats.org/officeDocument/2006/relationships/themeOverride" Target="../theme/themeOverride2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30.xlsx"/></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28.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31.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9.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32.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33.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34.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35.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915187347413592E-2"/>
          <c:y val="5.6314429424361309E-2"/>
          <c:w val="0.89716793164178021"/>
          <c:h val="0.5866182731543319"/>
        </c:manualLayout>
      </c:layout>
      <c:lineChart>
        <c:grouping val="standard"/>
        <c:varyColors val="0"/>
        <c:ser>
          <c:idx val="3"/>
          <c:order val="0"/>
          <c:tx>
            <c:strRef>
              <c:f>Sheet1!$C$1</c:f>
              <c:strCache>
                <c:ptCount val="1"/>
                <c:pt idx="0">
                  <c:v>ԱՄՆ</c:v>
                </c:pt>
              </c:strCache>
            </c:strRef>
          </c:tx>
          <c:spPr>
            <a:ln w="25400">
              <a:solidFill>
                <a:srgbClr val="4472C4">
                  <a:lumMod val="50000"/>
                </a:srgbClr>
              </a:solidFill>
            </a:ln>
          </c:spPr>
          <c:marker>
            <c:symbol val="none"/>
          </c:marker>
          <c:cat>
            <c:multiLvlStrRef>
              <c:f>Sheet1!$A$6:$B$35</c:f>
              <c:multiLvlStrCache>
                <c:ptCount val="18"/>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lvl>
                <c:lvl>
                  <c:pt idx="0">
                    <c:v>2022</c:v>
                  </c:pt>
                  <c:pt idx="4">
                    <c:v>2023</c:v>
                  </c:pt>
                  <c:pt idx="8">
                    <c:v>2024</c:v>
                  </c:pt>
                  <c:pt idx="12">
                    <c:v>2025</c:v>
                  </c:pt>
                  <c:pt idx="16">
                    <c:v>2026</c:v>
                  </c:pt>
                </c:lvl>
              </c:multiLvlStrCache>
            </c:multiLvlStrRef>
          </c:cat>
          <c:val>
            <c:numRef>
              <c:f>Sheet1!$C$6:$C$35</c:f>
              <c:numCache>
                <c:formatCode>General</c:formatCode>
                <c:ptCount val="18"/>
                <c:pt idx="0">
                  <c:v>3.7</c:v>
                </c:pt>
                <c:pt idx="1">
                  <c:v>1.8</c:v>
                </c:pt>
                <c:pt idx="2">
                  <c:v>1.9</c:v>
                </c:pt>
                <c:pt idx="3">
                  <c:v>0.9</c:v>
                </c:pt>
                <c:pt idx="4">
                  <c:v>1.7</c:v>
                </c:pt>
                <c:pt idx="5">
                  <c:v>2.4</c:v>
                </c:pt>
                <c:pt idx="6">
                  <c:v>2.9</c:v>
                </c:pt>
                <c:pt idx="7">
                  <c:v>3.1</c:v>
                </c:pt>
                <c:pt idx="8" formatCode="0.0">
                  <c:v>2.9</c:v>
                </c:pt>
                <c:pt idx="9" formatCode="0.0">
                  <c:v>3</c:v>
                </c:pt>
                <c:pt idx="10">
                  <c:v>2.7</c:v>
                </c:pt>
                <c:pt idx="11">
                  <c:v>2.5</c:v>
                </c:pt>
                <c:pt idx="12" formatCode="0.0">
                  <c:v>2</c:v>
                </c:pt>
                <c:pt idx="13">
                  <c:v>2.1</c:v>
                </c:pt>
                <c:pt idx="14">
                  <c:v>2.2999999999999998</c:v>
                </c:pt>
                <c:pt idx="15">
                  <c:v>2</c:v>
                </c:pt>
                <c:pt idx="16" formatCode="0.0">
                  <c:v>2.7</c:v>
                </c:pt>
                <c:pt idx="17" formatCode="0.0">
                  <c:v>2.1</c:v>
                </c:pt>
              </c:numCache>
            </c:numRef>
          </c:val>
          <c:smooth val="0"/>
          <c:extLst>
            <c:ext xmlns:c16="http://schemas.microsoft.com/office/drawing/2014/chart" uri="{C3380CC4-5D6E-409C-BE32-E72D297353CC}">
              <c16:uniqueId val="{00000000-CF71-4C89-B6C1-BBD6E3F1C7CA}"/>
            </c:ext>
          </c:extLst>
        </c:ser>
        <c:ser>
          <c:idx val="0"/>
          <c:order val="1"/>
          <c:tx>
            <c:strRef>
              <c:f>Sheet1!$D$1</c:f>
              <c:strCache>
                <c:ptCount val="1"/>
                <c:pt idx="0">
                  <c:v>ԵԳ</c:v>
                </c:pt>
              </c:strCache>
            </c:strRef>
          </c:tx>
          <c:spPr>
            <a:ln w="25400">
              <a:solidFill>
                <a:srgbClr val="4472C4"/>
              </a:solidFill>
            </a:ln>
          </c:spPr>
          <c:marker>
            <c:symbol val="none"/>
          </c:marker>
          <c:cat>
            <c:multiLvlStrRef>
              <c:f>Sheet1!$A$6:$B$35</c:f>
              <c:multiLvlStrCache>
                <c:ptCount val="18"/>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lvl>
                <c:lvl>
                  <c:pt idx="0">
                    <c:v>2022</c:v>
                  </c:pt>
                  <c:pt idx="4">
                    <c:v>2023</c:v>
                  </c:pt>
                  <c:pt idx="8">
                    <c:v>2024</c:v>
                  </c:pt>
                  <c:pt idx="12">
                    <c:v>2025</c:v>
                  </c:pt>
                  <c:pt idx="16">
                    <c:v>2026</c:v>
                  </c:pt>
                </c:lvl>
              </c:multiLvlStrCache>
            </c:multiLvlStrRef>
          </c:cat>
          <c:val>
            <c:numRef>
              <c:f>Sheet1!$D$6:$D$35</c:f>
              <c:numCache>
                <c:formatCode>General</c:formatCode>
                <c:ptCount val="18"/>
                <c:pt idx="0">
                  <c:v>5.5</c:v>
                </c:pt>
                <c:pt idx="1">
                  <c:v>4.4000000000000004</c:v>
                </c:pt>
                <c:pt idx="2">
                  <c:v>2.4</c:v>
                </c:pt>
                <c:pt idx="3">
                  <c:v>1.8</c:v>
                </c:pt>
                <c:pt idx="4" formatCode="0.00">
                  <c:v>1.3</c:v>
                </c:pt>
                <c:pt idx="5" formatCode="0.00">
                  <c:v>0.6</c:v>
                </c:pt>
                <c:pt idx="6" formatCode="0.00">
                  <c:v>0.1</c:v>
                </c:pt>
                <c:pt idx="7" formatCode="0.00">
                  <c:v>0.1</c:v>
                </c:pt>
                <c:pt idx="8">
                  <c:v>0.5</c:v>
                </c:pt>
                <c:pt idx="9">
                  <c:v>0.5</c:v>
                </c:pt>
                <c:pt idx="10" formatCode="0.0">
                  <c:v>1</c:v>
                </c:pt>
                <c:pt idx="11">
                  <c:v>1.2</c:v>
                </c:pt>
                <c:pt idx="12">
                  <c:v>1.6</c:v>
                </c:pt>
                <c:pt idx="13">
                  <c:v>1.4</c:v>
                </c:pt>
                <c:pt idx="14" formatCode="0.0">
                  <c:v>1.2</c:v>
                </c:pt>
                <c:pt idx="15">
                  <c:v>1.1000000000000001</c:v>
                </c:pt>
                <c:pt idx="16" formatCode="0.0">
                  <c:v>0.5</c:v>
                </c:pt>
                <c:pt idx="17" formatCode="0.0">
                  <c:v>1</c:v>
                </c:pt>
              </c:numCache>
            </c:numRef>
          </c:val>
          <c:smooth val="0"/>
          <c:extLst>
            <c:ext xmlns:c16="http://schemas.microsoft.com/office/drawing/2014/chart" uri="{C3380CC4-5D6E-409C-BE32-E72D297353CC}">
              <c16:uniqueId val="{00000001-CF71-4C89-B6C1-BBD6E3F1C7CA}"/>
            </c:ext>
          </c:extLst>
        </c:ser>
        <c:ser>
          <c:idx val="1"/>
          <c:order val="2"/>
          <c:tx>
            <c:strRef>
              <c:f>Sheet1!$E$1</c:f>
              <c:strCache>
                <c:ptCount val="1"/>
                <c:pt idx="0">
                  <c:v>Չինաստան</c:v>
                </c:pt>
              </c:strCache>
            </c:strRef>
          </c:tx>
          <c:spPr>
            <a:ln w="25400">
              <a:solidFill>
                <a:sysClr val="window" lastClr="FFFFFF">
                  <a:lumMod val="50000"/>
                </a:sysClr>
              </a:solidFill>
            </a:ln>
          </c:spPr>
          <c:marker>
            <c:symbol val="none"/>
          </c:marker>
          <c:cat>
            <c:multiLvlStrRef>
              <c:f>Sheet1!$A$6:$B$35</c:f>
              <c:multiLvlStrCache>
                <c:ptCount val="18"/>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lvl>
                <c:lvl>
                  <c:pt idx="0">
                    <c:v>2022</c:v>
                  </c:pt>
                  <c:pt idx="4">
                    <c:v>2023</c:v>
                  </c:pt>
                  <c:pt idx="8">
                    <c:v>2024</c:v>
                  </c:pt>
                  <c:pt idx="12">
                    <c:v>2025</c:v>
                  </c:pt>
                  <c:pt idx="16">
                    <c:v>2026</c:v>
                  </c:pt>
                </c:lvl>
              </c:multiLvlStrCache>
            </c:multiLvlStrRef>
          </c:cat>
          <c:val>
            <c:numRef>
              <c:f>Sheet1!$E$6:$E$35</c:f>
              <c:numCache>
                <c:formatCode>General</c:formatCode>
                <c:ptCount val="18"/>
                <c:pt idx="0">
                  <c:v>4.8</c:v>
                </c:pt>
                <c:pt idx="1">
                  <c:v>0.4</c:v>
                </c:pt>
                <c:pt idx="2">
                  <c:v>3.9</c:v>
                </c:pt>
                <c:pt idx="3">
                  <c:v>2.9</c:v>
                </c:pt>
                <c:pt idx="4">
                  <c:v>4.5</c:v>
                </c:pt>
                <c:pt idx="5">
                  <c:v>6.3</c:v>
                </c:pt>
                <c:pt idx="6">
                  <c:v>4.9000000000000004</c:v>
                </c:pt>
                <c:pt idx="7">
                  <c:v>5.2</c:v>
                </c:pt>
                <c:pt idx="8">
                  <c:v>5.3</c:v>
                </c:pt>
                <c:pt idx="9">
                  <c:v>4.7</c:v>
                </c:pt>
                <c:pt idx="10">
                  <c:v>4.5999999999999996</c:v>
                </c:pt>
                <c:pt idx="11">
                  <c:v>5.4</c:v>
                </c:pt>
                <c:pt idx="12">
                  <c:v>5.4</c:v>
                </c:pt>
                <c:pt idx="13">
                  <c:v>5.2</c:v>
                </c:pt>
                <c:pt idx="14" formatCode="0.0">
                  <c:v>4.8</c:v>
                </c:pt>
                <c:pt idx="15" formatCode="0.0">
                  <c:v>4</c:v>
                </c:pt>
                <c:pt idx="16" formatCode="0.0">
                  <c:v>5</c:v>
                </c:pt>
                <c:pt idx="17" formatCode="0.0">
                  <c:v>4.3</c:v>
                </c:pt>
              </c:numCache>
            </c:numRef>
          </c:val>
          <c:smooth val="0"/>
          <c:extLst>
            <c:ext xmlns:c16="http://schemas.microsoft.com/office/drawing/2014/chart" uri="{C3380CC4-5D6E-409C-BE32-E72D297353CC}">
              <c16:uniqueId val="{00000002-CF71-4C89-B6C1-BBD6E3F1C7CA}"/>
            </c:ext>
          </c:extLst>
        </c:ser>
        <c:ser>
          <c:idx val="2"/>
          <c:order val="3"/>
          <c:tx>
            <c:strRef>
              <c:f>Sheet1!$F$1</c:f>
              <c:strCache>
                <c:ptCount val="1"/>
                <c:pt idx="0">
                  <c:v>ՌԴ</c:v>
                </c:pt>
              </c:strCache>
            </c:strRef>
          </c:tx>
          <c:spPr>
            <a:ln w="22225">
              <a:solidFill>
                <a:srgbClr val="F79646">
                  <a:lumMod val="60000"/>
                  <a:lumOff val="40000"/>
                </a:srgbClr>
              </a:solidFill>
            </a:ln>
          </c:spPr>
          <c:marker>
            <c:symbol val="none"/>
          </c:marker>
          <c:cat>
            <c:multiLvlStrRef>
              <c:f>Sheet1!$A$6:$B$35</c:f>
              <c:multiLvlStrCache>
                <c:ptCount val="18"/>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lvl>
                <c:lvl>
                  <c:pt idx="0">
                    <c:v>2022</c:v>
                  </c:pt>
                  <c:pt idx="4">
                    <c:v>2023</c:v>
                  </c:pt>
                  <c:pt idx="8">
                    <c:v>2024</c:v>
                  </c:pt>
                  <c:pt idx="12">
                    <c:v>2025</c:v>
                  </c:pt>
                  <c:pt idx="16">
                    <c:v>2026</c:v>
                  </c:pt>
                </c:lvl>
              </c:multiLvlStrCache>
            </c:multiLvlStrRef>
          </c:cat>
          <c:val>
            <c:numRef>
              <c:f>Sheet1!$F$6:$F$35</c:f>
              <c:numCache>
                <c:formatCode>General</c:formatCode>
                <c:ptCount val="18"/>
                <c:pt idx="0">
                  <c:v>3</c:v>
                </c:pt>
                <c:pt idx="1">
                  <c:v>-4.5</c:v>
                </c:pt>
                <c:pt idx="2">
                  <c:v>-3.5</c:v>
                </c:pt>
                <c:pt idx="3">
                  <c:v>-2.7</c:v>
                </c:pt>
                <c:pt idx="4">
                  <c:v>-1.8</c:v>
                </c:pt>
                <c:pt idx="5">
                  <c:v>4.9000000000000004</c:v>
                </c:pt>
                <c:pt idx="6">
                  <c:v>5.5</c:v>
                </c:pt>
                <c:pt idx="7">
                  <c:v>4.9000000000000004</c:v>
                </c:pt>
                <c:pt idx="8">
                  <c:v>5.4</c:v>
                </c:pt>
                <c:pt idx="9" formatCode="0.0">
                  <c:v>4.3</c:v>
                </c:pt>
                <c:pt idx="10">
                  <c:v>3.3</c:v>
                </c:pt>
                <c:pt idx="11">
                  <c:v>4.5</c:v>
                </c:pt>
                <c:pt idx="12">
                  <c:v>1.3</c:v>
                </c:pt>
                <c:pt idx="13">
                  <c:v>1</c:v>
                </c:pt>
                <c:pt idx="14" formatCode="0.0">
                  <c:v>0.8</c:v>
                </c:pt>
                <c:pt idx="15">
                  <c:v>1</c:v>
                </c:pt>
                <c:pt idx="16" formatCode="0.0">
                  <c:v>-0.2</c:v>
                </c:pt>
                <c:pt idx="17" formatCode="0.0">
                  <c:v>0.9</c:v>
                </c:pt>
              </c:numCache>
            </c:numRef>
          </c:val>
          <c:smooth val="0"/>
          <c:extLst>
            <c:ext xmlns:c16="http://schemas.microsoft.com/office/drawing/2014/chart" uri="{C3380CC4-5D6E-409C-BE32-E72D297353CC}">
              <c16:uniqueId val="{00000003-CF71-4C89-B6C1-BBD6E3F1C7CA}"/>
            </c:ext>
          </c:extLst>
        </c:ser>
        <c:dLbls>
          <c:showLegendKey val="0"/>
          <c:showVal val="0"/>
          <c:showCatName val="0"/>
          <c:showSerName val="0"/>
          <c:showPercent val="0"/>
          <c:showBubbleSize val="0"/>
        </c:dLbls>
        <c:smooth val="0"/>
        <c:axId val="-412840576"/>
        <c:axId val="-412843840"/>
      </c:lineChart>
      <c:catAx>
        <c:axId val="-412840576"/>
        <c:scaling>
          <c:orientation val="minMax"/>
        </c:scaling>
        <c:delete val="0"/>
        <c:axPos val="b"/>
        <c:numFmt formatCode="General" sourceLinked="1"/>
        <c:majorTickMark val="none"/>
        <c:minorTickMark val="none"/>
        <c:tickLblPos val="low"/>
        <c:spPr>
          <a:noFill/>
          <a:ln w="9522" cap="flat" cmpd="sng" algn="ctr">
            <a:solidFill>
              <a:sysClr val="window" lastClr="FFFFFF">
                <a:lumMod val="85000"/>
              </a:sys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12843840"/>
        <c:crosses val="autoZero"/>
        <c:auto val="1"/>
        <c:lblAlgn val="ctr"/>
        <c:lblOffset val="0"/>
        <c:noMultiLvlLbl val="0"/>
      </c:catAx>
      <c:valAx>
        <c:axId val="-412843840"/>
        <c:scaling>
          <c:orientation val="minMax"/>
          <c:max val="10"/>
          <c:min val="-6"/>
        </c:scaling>
        <c:delete val="0"/>
        <c:axPos val="l"/>
        <c:majorGridlines>
          <c:spPr>
            <a:ln w="9522" cap="flat" cmpd="sng" algn="ctr">
              <a:solidFill>
                <a:schemeClr val="tx1">
                  <a:lumMod val="15000"/>
                  <a:lumOff val="85000"/>
                </a:schemeClr>
              </a:solidFill>
              <a:round/>
            </a:ln>
            <a:effectLst/>
          </c:spPr>
        </c:majorGridlines>
        <c:numFmt formatCode="General" sourceLinked="1"/>
        <c:majorTickMark val="none"/>
        <c:minorTickMark val="none"/>
        <c:tickLblPos val="nextTo"/>
        <c:spPr>
          <a:ln w="6348">
            <a:noFill/>
          </a:ln>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12840576"/>
        <c:crosses val="autoZero"/>
        <c:crossBetween val="between"/>
      </c:valAx>
      <c:spPr>
        <a:noFill/>
        <a:ln w="25393">
          <a:noFill/>
        </a:ln>
      </c:spPr>
    </c:plotArea>
    <c:legend>
      <c:legendPos val="b"/>
      <c:layout>
        <c:manualLayout>
          <c:xMode val="edge"/>
          <c:yMode val="edge"/>
          <c:x val="0.23183433269377468"/>
          <c:y val="0.87843032715768399"/>
          <c:w val="0.5198781076427661"/>
          <c:h val="0.12156967284231598"/>
        </c:manualLayout>
      </c:layout>
      <c:overlay val="0"/>
      <c:spPr>
        <a:noFill/>
        <a:ln w="25393">
          <a:noFill/>
        </a:ln>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sz="1100">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1124951594165523E-2"/>
          <c:w val="0.87658476118247253"/>
          <c:h val="0.61340343802243524"/>
        </c:manualLayout>
      </c:layout>
      <c:barChart>
        <c:barDir val="col"/>
        <c:grouping val="stacked"/>
        <c:varyColors val="0"/>
        <c:ser>
          <c:idx val="1"/>
          <c:order val="1"/>
          <c:tx>
            <c:strRef>
              <c:f>Sheet1!$A$3</c:f>
              <c:strCache>
                <c:ptCount val="1"/>
                <c:pt idx="0">
                  <c:v>արդյունաբերություն</c:v>
                </c:pt>
              </c:strCache>
            </c:strRef>
          </c:tx>
          <c:spPr>
            <a:solidFill>
              <a:sysClr val="window" lastClr="FFFFFF">
                <a:lumMod val="75000"/>
              </a:sysClr>
            </a:solidFill>
            <a:ln>
              <a:noFill/>
            </a:ln>
            <a:effectLst/>
          </c:spPr>
          <c:invertIfNegative val="0"/>
          <c:cat>
            <c:strRef>
              <c:f>Sheet1!$B$1:$G$1</c:f>
              <c:strCache>
                <c:ptCount val="6"/>
                <c:pt idx="0">
                  <c:v>I</c:v>
                </c:pt>
                <c:pt idx="1">
                  <c:v>II</c:v>
                </c:pt>
                <c:pt idx="2">
                  <c:v>III</c:v>
                </c:pt>
                <c:pt idx="3">
                  <c:v>IV</c:v>
                </c:pt>
                <c:pt idx="4">
                  <c:v>V</c:v>
                </c:pt>
                <c:pt idx="5">
                  <c:v>VI</c:v>
                </c:pt>
              </c:strCache>
            </c:strRef>
          </c:cat>
          <c:val>
            <c:numRef>
              <c:f>Sheet1!$B$3:$G$3</c:f>
              <c:numCache>
                <c:formatCode>0.0</c:formatCode>
                <c:ptCount val="6"/>
                <c:pt idx="0">
                  <c:v>1.8369893116734408</c:v>
                </c:pt>
                <c:pt idx="1">
                  <c:v>4.1245609073422562</c:v>
                </c:pt>
                <c:pt idx="2">
                  <c:v>1.2131061492183106</c:v>
                </c:pt>
                <c:pt idx="3">
                  <c:v>2.0276202779791768</c:v>
                </c:pt>
                <c:pt idx="4">
                  <c:v>1.6463583453677073</c:v>
                </c:pt>
                <c:pt idx="5">
                  <c:v>0.69320351383903467</c:v>
                </c:pt>
              </c:numCache>
            </c:numRef>
          </c:val>
          <c:extLst>
            <c:ext xmlns:c16="http://schemas.microsoft.com/office/drawing/2014/chart" uri="{C3380CC4-5D6E-409C-BE32-E72D297353CC}">
              <c16:uniqueId val="{00000000-320E-41EE-8148-1DC57D578BE5}"/>
            </c:ext>
          </c:extLst>
        </c:ser>
        <c:ser>
          <c:idx val="2"/>
          <c:order val="2"/>
          <c:tx>
            <c:strRef>
              <c:f>Sheet1!$A$4</c:f>
              <c:strCache>
                <c:ptCount val="1"/>
                <c:pt idx="0">
                  <c:v>շինարարություն</c:v>
                </c:pt>
              </c:strCache>
            </c:strRef>
          </c:tx>
          <c:spPr>
            <a:solidFill>
              <a:srgbClr val="1F497D">
                <a:lumMod val="60000"/>
                <a:lumOff val="40000"/>
              </a:srgbClr>
            </a:solidFill>
            <a:ln>
              <a:noFill/>
            </a:ln>
            <a:effectLst/>
          </c:spPr>
          <c:invertIfNegative val="0"/>
          <c:cat>
            <c:strRef>
              <c:f>Sheet1!$B$1:$G$1</c:f>
              <c:strCache>
                <c:ptCount val="6"/>
                <c:pt idx="0">
                  <c:v>I</c:v>
                </c:pt>
                <c:pt idx="1">
                  <c:v>II</c:v>
                </c:pt>
                <c:pt idx="2">
                  <c:v>III</c:v>
                </c:pt>
                <c:pt idx="3">
                  <c:v>IV</c:v>
                </c:pt>
                <c:pt idx="4">
                  <c:v>V</c:v>
                </c:pt>
                <c:pt idx="5">
                  <c:v>VI</c:v>
                </c:pt>
              </c:strCache>
            </c:strRef>
          </c:cat>
          <c:val>
            <c:numRef>
              <c:f>Sheet1!$B$4:$G$4</c:f>
              <c:numCache>
                <c:formatCode>0.0</c:formatCode>
                <c:ptCount val="6"/>
                <c:pt idx="0">
                  <c:v>1.3303139394456491</c:v>
                </c:pt>
                <c:pt idx="1">
                  <c:v>1.5508472663056228</c:v>
                </c:pt>
                <c:pt idx="2">
                  <c:v>1.7073547885933462</c:v>
                </c:pt>
                <c:pt idx="3">
                  <c:v>1.7571526365939858</c:v>
                </c:pt>
                <c:pt idx="4">
                  <c:v>1.9278881154533198</c:v>
                </c:pt>
                <c:pt idx="5">
                  <c:v>1.8069504845946254</c:v>
                </c:pt>
              </c:numCache>
            </c:numRef>
          </c:val>
          <c:extLst>
            <c:ext xmlns:c16="http://schemas.microsoft.com/office/drawing/2014/chart" uri="{C3380CC4-5D6E-409C-BE32-E72D297353CC}">
              <c16:uniqueId val="{00000001-320E-41EE-8148-1DC57D578BE5}"/>
            </c:ext>
          </c:extLst>
        </c:ser>
        <c:ser>
          <c:idx val="3"/>
          <c:order val="3"/>
          <c:tx>
            <c:strRef>
              <c:f>Sheet1!$A$5</c:f>
              <c:strCache>
                <c:ptCount val="1"/>
                <c:pt idx="0">
                  <c:v>ծառայություններ</c:v>
                </c:pt>
              </c:strCache>
            </c:strRef>
          </c:tx>
          <c:spPr>
            <a:solidFill>
              <a:srgbClr val="4F81BD">
                <a:lumMod val="75000"/>
              </a:srgbClr>
            </a:solidFill>
            <a:ln>
              <a:noFill/>
            </a:ln>
            <a:effectLst/>
          </c:spPr>
          <c:invertIfNegative val="0"/>
          <c:dPt>
            <c:idx val="0"/>
            <c:invertIfNegative val="0"/>
            <c:bubble3D val="0"/>
            <c:extLst>
              <c:ext xmlns:c16="http://schemas.microsoft.com/office/drawing/2014/chart" uri="{C3380CC4-5D6E-409C-BE32-E72D297353CC}">
                <c16:uniqueId val="{00000002-320E-41EE-8148-1DC57D578BE5}"/>
              </c:ext>
            </c:extLst>
          </c:dPt>
          <c:dPt>
            <c:idx val="1"/>
            <c:invertIfNegative val="0"/>
            <c:bubble3D val="0"/>
            <c:extLst>
              <c:ext xmlns:c16="http://schemas.microsoft.com/office/drawing/2014/chart" uri="{C3380CC4-5D6E-409C-BE32-E72D297353CC}">
                <c16:uniqueId val="{00000003-320E-41EE-8148-1DC57D578BE5}"/>
              </c:ext>
            </c:extLst>
          </c:dPt>
          <c:dPt>
            <c:idx val="2"/>
            <c:invertIfNegative val="0"/>
            <c:bubble3D val="0"/>
            <c:extLst>
              <c:ext xmlns:c16="http://schemas.microsoft.com/office/drawing/2014/chart" uri="{C3380CC4-5D6E-409C-BE32-E72D297353CC}">
                <c16:uniqueId val="{00000004-320E-41EE-8148-1DC57D578BE5}"/>
              </c:ext>
            </c:extLst>
          </c:dPt>
          <c:cat>
            <c:strRef>
              <c:f>Sheet1!$B$1:$G$1</c:f>
              <c:strCache>
                <c:ptCount val="6"/>
                <c:pt idx="0">
                  <c:v>I</c:v>
                </c:pt>
                <c:pt idx="1">
                  <c:v>II</c:v>
                </c:pt>
                <c:pt idx="2">
                  <c:v>III</c:v>
                </c:pt>
                <c:pt idx="3">
                  <c:v>IV</c:v>
                </c:pt>
                <c:pt idx="4">
                  <c:v>V</c:v>
                </c:pt>
                <c:pt idx="5">
                  <c:v>VI</c:v>
                </c:pt>
              </c:strCache>
            </c:strRef>
          </c:cat>
          <c:val>
            <c:numRef>
              <c:f>Sheet1!$B$5:$G$5</c:f>
              <c:numCache>
                <c:formatCode>0.0</c:formatCode>
                <c:ptCount val="6"/>
                <c:pt idx="0">
                  <c:v>3.2014108022505572</c:v>
                </c:pt>
                <c:pt idx="1">
                  <c:v>3.3563177765530021</c:v>
                </c:pt>
                <c:pt idx="2">
                  <c:v>4.2341239642668658</c:v>
                </c:pt>
                <c:pt idx="3">
                  <c:v>4.6988448871742001</c:v>
                </c:pt>
                <c:pt idx="4">
                  <c:v>7.5904417408198679</c:v>
                </c:pt>
                <c:pt idx="5">
                  <c:v>10.17222464586064</c:v>
                </c:pt>
              </c:numCache>
            </c:numRef>
          </c:val>
          <c:extLst>
            <c:ext xmlns:c16="http://schemas.microsoft.com/office/drawing/2014/chart" uri="{C3380CC4-5D6E-409C-BE32-E72D297353CC}">
              <c16:uniqueId val="{00000005-320E-41EE-8148-1DC57D578BE5}"/>
            </c:ext>
          </c:extLst>
        </c:ser>
        <c:ser>
          <c:idx val="4"/>
          <c:order val="4"/>
          <c:tx>
            <c:strRef>
              <c:f>Sheet1!$A$6</c:f>
              <c:strCache>
                <c:ptCount val="1"/>
                <c:pt idx="0">
                  <c:v>առևտուր</c:v>
                </c:pt>
              </c:strCache>
            </c:strRef>
          </c:tx>
          <c:spPr>
            <a:solidFill>
              <a:srgbClr val="F79646"/>
            </a:solidFill>
          </c:spPr>
          <c:invertIfNegative val="0"/>
          <c:cat>
            <c:strRef>
              <c:f>Sheet1!$B$1:$G$1</c:f>
              <c:strCache>
                <c:ptCount val="6"/>
                <c:pt idx="0">
                  <c:v>I</c:v>
                </c:pt>
                <c:pt idx="1">
                  <c:v>II</c:v>
                </c:pt>
                <c:pt idx="2">
                  <c:v>III</c:v>
                </c:pt>
                <c:pt idx="3">
                  <c:v>IV</c:v>
                </c:pt>
                <c:pt idx="4">
                  <c:v>V</c:v>
                </c:pt>
                <c:pt idx="5">
                  <c:v>VI</c:v>
                </c:pt>
              </c:strCache>
            </c:strRef>
          </c:cat>
          <c:val>
            <c:numRef>
              <c:f>Sheet1!$B$6:$G$6</c:f>
              <c:numCache>
                <c:formatCode>0.0</c:formatCode>
                <c:ptCount val="6"/>
                <c:pt idx="0">
                  <c:v>0.10905553173494664</c:v>
                </c:pt>
                <c:pt idx="1">
                  <c:v>0.8724442538795687</c:v>
                </c:pt>
                <c:pt idx="2" formatCode="0.00">
                  <c:v>3.1158723352842213E-2</c:v>
                </c:pt>
                <c:pt idx="3" formatCode="0.00">
                  <c:v>1.557936167642E-2</c:v>
                </c:pt>
                <c:pt idx="4">
                  <c:v>0</c:v>
                </c:pt>
                <c:pt idx="5" formatCode="0.00">
                  <c:v>-1.557936167642E-2</c:v>
                </c:pt>
              </c:numCache>
            </c:numRef>
          </c:val>
          <c:extLst>
            <c:ext xmlns:c16="http://schemas.microsoft.com/office/drawing/2014/chart" uri="{C3380CC4-5D6E-409C-BE32-E72D297353CC}">
              <c16:uniqueId val="{00000006-320E-41EE-8148-1DC57D578BE5}"/>
            </c:ext>
          </c:extLst>
        </c:ser>
        <c:dLbls>
          <c:showLegendKey val="0"/>
          <c:showVal val="0"/>
          <c:showCatName val="0"/>
          <c:showSerName val="0"/>
          <c:showPercent val="0"/>
          <c:showBubbleSize val="0"/>
        </c:dLbls>
        <c:gapWidth val="219"/>
        <c:overlap val="100"/>
        <c:axId val="527414784"/>
        <c:axId val="539977408"/>
        <c:extLst>
          <c:ext xmlns:c15="http://schemas.microsoft.com/office/drawing/2012/chart" uri="{02D57815-91ED-43cb-92C2-25804820EDAC}">
            <c15:filteredBarSeries>
              <c15:ser>
                <c:idx val="5"/>
                <c:order val="5"/>
                <c:tx>
                  <c:strRef>
                    <c:extLst>
                      <c:ext uri="{02D57815-91ED-43cb-92C2-25804820EDAC}">
                        <c15:formulaRef>
                          <c15:sqref>Sheet1!$A$7</c15:sqref>
                        </c15:formulaRef>
                      </c:ext>
                    </c:extLst>
                    <c:strCache>
                      <c:ptCount val="1"/>
                      <c:pt idx="0">
                        <c:v>այլ </c:v>
                      </c:pt>
                    </c:strCache>
                  </c:strRef>
                </c:tx>
                <c:spPr>
                  <a:solidFill>
                    <a:srgbClr val="4F81BD">
                      <a:lumMod val="60000"/>
                      <a:lumOff val="40000"/>
                    </a:srgbClr>
                  </a:solidFill>
                </c:spPr>
                <c:invertIfNegative val="0"/>
                <c:cat>
                  <c:strRef>
                    <c:extLst>
                      <c:ext uri="{02D57815-91ED-43cb-92C2-25804820EDAC}">
                        <c15:formulaRef>
                          <c15:sqref>Sheet1!$B$1:$G$1</c15:sqref>
                        </c15:formulaRef>
                      </c:ext>
                    </c:extLst>
                    <c:strCache>
                      <c:ptCount val="6"/>
                      <c:pt idx="0">
                        <c:v>I</c:v>
                      </c:pt>
                      <c:pt idx="1">
                        <c:v>II</c:v>
                      </c:pt>
                      <c:pt idx="2">
                        <c:v>III</c:v>
                      </c:pt>
                      <c:pt idx="3">
                        <c:v>IV</c:v>
                      </c:pt>
                      <c:pt idx="4">
                        <c:v>V</c:v>
                      </c:pt>
                      <c:pt idx="5">
                        <c:v>VI</c:v>
                      </c:pt>
                    </c:strCache>
                  </c:strRef>
                </c:cat>
                <c:val>
                  <c:numRef>
                    <c:extLst>
                      <c:ext uri="{02D57815-91ED-43cb-92C2-25804820EDAC}">
                        <c15:formulaRef>
                          <c15:sqref>Sheet1!$B$7:$G$7</c15:sqref>
                        </c15:formulaRef>
                      </c:ext>
                    </c:extLst>
                    <c:numCache>
                      <c:formatCode>0.0</c:formatCode>
                      <c:ptCount val="6"/>
                      <c:pt idx="0">
                        <c:v>0.431163240218285</c:v>
                      </c:pt>
                      <c:pt idx="1">
                        <c:v>-2.9082399814172035</c:v>
                      </c:pt>
                      <c:pt idx="2">
                        <c:v>-0.59383683432211232</c:v>
                      </c:pt>
                      <c:pt idx="3">
                        <c:v>-1.3987780896608317</c:v>
                      </c:pt>
                      <c:pt idx="4">
                        <c:v>0.53531179835910692</c:v>
                      </c:pt>
                      <c:pt idx="5">
                        <c:v>-4.9567992826178777</c:v>
                      </c:pt>
                    </c:numCache>
                  </c:numRef>
                </c:val>
                <c:extLst>
                  <c:ext xmlns:c16="http://schemas.microsoft.com/office/drawing/2014/chart" uri="{C3380CC4-5D6E-409C-BE32-E72D297353CC}">
                    <c16:uniqueId val="{00000012-320E-41EE-8148-1DC57D578BE5}"/>
                  </c:ext>
                </c:extLst>
              </c15:ser>
            </c15:filteredBarSeries>
          </c:ext>
        </c:extLst>
      </c:barChart>
      <c:lineChart>
        <c:grouping val="standard"/>
        <c:varyColors val="0"/>
        <c:ser>
          <c:idx val="0"/>
          <c:order val="0"/>
          <c:tx>
            <c:strRef>
              <c:f>Sheet1!$A$2</c:f>
              <c:strCache>
                <c:ptCount val="1"/>
                <c:pt idx="0">
                  <c:v>ՏԱՑ</c:v>
                </c:pt>
              </c:strCache>
            </c:strRef>
          </c:tx>
          <c:spPr>
            <a:effectLst/>
          </c:spPr>
          <c:dLbls>
            <c:dLbl>
              <c:idx val="0"/>
              <c:layout>
                <c:manualLayout>
                  <c:x val="-6.6158266535517429E-2"/>
                  <c:y val="-4.98474276081343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20E-41EE-8148-1DC57D578BE5}"/>
                </c:ext>
              </c:extLst>
            </c:dLbl>
            <c:dLbl>
              <c:idx val="1"/>
              <c:layout>
                <c:manualLayout>
                  <c:x val="-4.901427175899134E-2"/>
                  <c:y val="-4.33988434372533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20E-41EE-8148-1DC57D578BE5}"/>
                </c:ext>
              </c:extLst>
            </c:dLbl>
            <c:dLbl>
              <c:idx val="2"/>
              <c:layout>
                <c:manualLayout>
                  <c:x val="-5.7184216875397542E-2"/>
                  <c:y val="-6.7092375648165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20E-41EE-8148-1DC57D578BE5}"/>
                </c:ext>
              </c:extLst>
            </c:dLbl>
            <c:dLbl>
              <c:idx val="3"/>
              <c:layout>
                <c:manualLayout>
                  <c:x val="-7.012210038990474E-2"/>
                  <c:y val="-5.10135415912643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20E-41EE-8148-1DC57D578BE5}"/>
                </c:ext>
              </c:extLst>
            </c:dLbl>
            <c:dLbl>
              <c:idx val="4"/>
              <c:layout>
                <c:manualLayout>
                  <c:x val="-6.6230814784320802E-2"/>
                  <c:y val="-3.44845613810468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20E-41EE-8148-1DC57D578BE5}"/>
                </c:ext>
              </c:extLst>
            </c:dLbl>
            <c:dLbl>
              <c:idx val="5"/>
              <c:layout>
                <c:manualLayout>
                  <c:x val="-4.6028995679161355E-2"/>
                  <c:y val="-5.18639460159410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20E-41EE-8148-1DC57D578BE5}"/>
                </c:ext>
              </c:extLst>
            </c:dLbl>
            <c:dLbl>
              <c:idx val="6"/>
              <c:layout>
                <c:manualLayout>
                  <c:x val="-5.8885383806519455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20E-41EE-8148-1DC57D578BE5}"/>
                </c:ext>
              </c:extLst>
            </c:dLbl>
            <c:dLbl>
              <c:idx val="7"/>
              <c:layout>
                <c:manualLayout>
                  <c:x val="-5.8885383806519455E-2"/>
                  <c:y val="-5.8346839546191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20E-41EE-8148-1DC57D578BE5}"/>
                </c:ext>
              </c:extLst>
            </c:dLbl>
            <c:dLbl>
              <c:idx val="8"/>
              <c:layout>
                <c:manualLayout>
                  <c:x val="-3.3648790746582544E-2"/>
                  <c:y val="-5.1863857374392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20E-41EE-8148-1DC57D578BE5}"/>
                </c:ext>
              </c:extLst>
            </c:dLbl>
            <c:dLbl>
              <c:idx val="9"/>
              <c:layout>
                <c:manualLayout>
                  <c:x val="-1.6824395373291275E-2"/>
                  <c:y val="3.889789303079410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20E-41EE-8148-1DC57D578BE5}"/>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I</c:v>
                </c:pt>
                <c:pt idx="1">
                  <c:v>II</c:v>
                </c:pt>
                <c:pt idx="2">
                  <c:v>III</c:v>
                </c:pt>
                <c:pt idx="3">
                  <c:v>IV</c:v>
                </c:pt>
                <c:pt idx="4">
                  <c:v>V</c:v>
                </c:pt>
                <c:pt idx="5">
                  <c:v>VI</c:v>
                </c:pt>
              </c:strCache>
            </c:strRef>
          </c:cat>
          <c:val>
            <c:numRef>
              <c:f>Sheet1!$B$2:$G$2</c:f>
              <c:numCache>
                <c:formatCode>0.0</c:formatCode>
                <c:ptCount val="6"/>
                <c:pt idx="0">
                  <c:v>6.9089328253228786</c:v>
                </c:pt>
                <c:pt idx="1">
                  <c:v>6.9959302226632474</c:v>
                </c:pt>
                <c:pt idx="2">
                  <c:v>6.5919067911092526</c:v>
                </c:pt>
                <c:pt idx="3">
                  <c:v>7.10041907376295</c:v>
                </c:pt>
                <c:pt idx="4">
                  <c:v>11.700000000000003</c:v>
                </c:pt>
                <c:pt idx="5">
                  <c:v>7.7000000000000028</c:v>
                </c:pt>
              </c:numCache>
            </c:numRef>
          </c:val>
          <c:smooth val="0"/>
          <c:extLst>
            <c:ext xmlns:c16="http://schemas.microsoft.com/office/drawing/2014/chart" uri="{C3380CC4-5D6E-409C-BE32-E72D297353CC}">
              <c16:uniqueId val="{00000011-320E-41EE-8148-1DC57D578BE5}"/>
            </c:ext>
          </c:extLst>
        </c:ser>
        <c:dLbls>
          <c:showLegendKey val="0"/>
          <c:showVal val="0"/>
          <c:showCatName val="0"/>
          <c:showSerName val="0"/>
          <c:showPercent val="0"/>
          <c:showBubbleSize val="0"/>
        </c:dLbls>
        <c:marker val="1"/>
        <c:smooth val="0"/>
        <c:axId val="527414784"/>
        <c:axId val="539977408"/>
      </c:lineChart>
      <c:catAx>
        <c:axId val="527414784"/>
        <c:scaling>
          <c:orientation val="minMax"/>
        </c:scaling>
        <c:delete val="0"/>
        <c:axPos val="b"/>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39977408"/>
        <c:crosses val="autoZero"/>
        <c:auto val="1"/>
        <c:lblAlgn val="ctr"/>
        <c:lblOffset val="100"/>
        <c:noMultiLvlLbl val="0"/>
      </c:catAx>
      <c:valAx>
        <c:axId val="539977408"/>
        <c:scaling>
          <c:orientation val="minMax"/>
          <c:max val="13"/>
          <c:min val="0"/>
        </c:scaling>
        <c:delete val="0"/>
        <c:axPos val="l"/>
        <c:majorGridlines>
          <c:spPr>
            <a:ln w="9525" cap="flat" cmpd="sng" algn="ctr">
              <a:solidFill>
                <a:schemeClr val="tx1">
                  <a:lumMod val="15000"/>
                  <a:lumOff val="85000"/>
                </a:scheme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27414784"/>
        <c:crosses val="autoZero"/>
        <c:crossBetween val="between"/>
        <c:majorUnit val="4"/>
      </c:valAx>
      <c:spPr>
        <a:solidFill>
          <a:sysClr val="window" lastClr="FFFFFF"/>
        </a:solidFill>
        <a:ln>
          <a:noFill/>
        </a:ln>
        <a:effectLst/>
      </c:spPr>
    </c:plotArea>
    <c:legend>
      <c:legendPos val="b"/>
      <c:layout>
        <c:manualLayout>
          <c:xMode val="edge"/>
          <c:yMode val="edge"/>
          <c:x val="4.7624630517399839E-2"/>
          <c:y val="0.81048201227682859"/>
          <c:w val="0.86072540406133446"/>
          <c:h val="0.18303500555137253"/>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671697287839014E-2"/>
          <c:y val="6.2195054565547726E-2"/>
          <c:w val="0.84915654061760815"/>
          <c:h val="0.64664972655310515"/>
        </c:manualLayout>
      </c:layout>
      <c:barChart>
        <c:barDir val="col"/>
        <c:grouping val="clustered"/>
        <c:varyColors val="0"/>
        <c:ser>
          <c:idx val="1"/>
          <c:order val="0"/>
          <c:tx>
            <c:strRef>
              <c:f>Sheet1!$E$1</c:f>
              <c:strCache>
                <c:ptCount val="1"/>
                <c:pt idx="0">
                  <c:v>Գործազուրկներ, հազ. մարդ</c:v>
                </c:pt>
              </c:strCache>
            </c:strRef>
          </c:tx>
          <c:spPr>
            <a:solidFill>
              <a:srgbClr val="1F497D"/>
            </a:solidFill>
            <a:ln>
              <a:solidFill>
                <a:srgbClr val="1F497D"/>
              </a:solidFill>
            </a:ln>
            <a:effectLst/>
          </c:spPr>
          <c:invertIfNegative val="0"/>
          <c:cat>
            <c:multiLvlStrRef>
              <c:f>Sheet1!$A$2:$B$22</c:f>
              <c:multiLvlStrCache>
                <c:ptCount val="9"/>
                <c:lvl>
                  <c:pt idx="0">
                    <c:v>I</c:v>
                  </c:pt>
                  <c:pt idx="1">
                    <c:v>II</c:v>
                  </c:pt>
                  <c:pt idx="2">
                    <c:v>III</c:v>
                  </c:pt>
                  <c:pt idx="3">
                    <c:v>IV</c:v>
                  </c:pt>
                  <c:pt idx="4">
                    <c:v>I</c:v>
                  </c:pt>
                  <c:pt idx="5">
                    <c:v>II</c:v>
                  </c:pt>
                  <c:pt idx="6">
                    <c:v>III</c:v>
                  </c:pt>
                  <c:pt idx="7">
                    <c:v>IV</c:v>
                  </c:pt>
                  <c:pt idx="8">
                    <c:v>I</c:v>
                  </c:pt>
                </c:lvl>
                <c:lvl>
                  <c:pt idx="0">
                    <c:v>2024</c:v>
                  </c:pt>
                  <c:pt idx="4">
                    <c:v>2025</c:v>
                  </c:pt>
                  <c:pt idx="8">
                    <c:v>2026</c:v>
                  </c:pt>
                </c:lvl>
              </c:multiLvlStrCache>
            </c:multiLvlStrRef>
          </c:cat>
          <c:val>
            <c:numRef>
              <c:f>Sheet1!$E$2:$E$22</c:f>
              <c:numCache>
                <c:formatCode>0.0</c:formatCode>
                <c:ptCount val="9"/>
                <c:pt idx="0">
                  <c:v>204.36889999685977</c:v>
                </c:pt>
                <c:pt idx="1">
                  <c:v>189.98599999999999</c:v>
                </c:pt>
                <c:pt idx="2">
                  <c:v>185.62939999800011</c:v>
                </c:pt>
                <c:pt idx="3">
                  <c:v>171.70956596787752</c:v>
                </c:pt>
                <c:pt idx="4">
                  <c:v>188.16356620788017</c:v>
                </c:pt>
                <c:pt idx="5">
                  <c:v>166.3318500312001</c:v>
                </c:pt>
                <c:pt idx="6">
                  <c:v>161.30000000000001</c:v>
                </c:pt>
                <c:pt idx="7">
                  <c:v>173.35648821754026</c:v>
                </c:pt>
                <c:pt idx="8">
                  <c:v>180.99570592738007</c:v>
                </c:pt>
              </c:numCache>
            </c:numRef>
          </c:val>
          <c:extLst>
            <c:ext xmlns:c16="http://schemas.microsoft.com/office/drawing/2014/chart" uri="{C3380CC4-5D6E-409C-BE32-E72D297353CC}">
              <c16:uniqueId val="{00000000-CC8D-4143-BB92-4E9AA64258CB}"/>
            </c:ext>
          </c:extLst>
        </c:ser>
        <c:ser>
          <c:idx val="0"/>
          <c:order val="2"/>
          <c:tx>
            <c:strRef>
              <c:f>Sheet1!$D$1</c:f>
              <c:strCache>
                <c:ptCount val="1"/>
                <c:pt idx="0">
                  <c:v>Զբաղվածներ, հազ. մարդ</c:v>
                </c:pt>
              </c:strCache>
            </c:strRef>
          </c:tx>
          <c:spPr>
            <a:solidFill>
              <a:srgbClr val="9BBB59"/>
            </a:solidFill>
            <a:ln>
              <a:solidFill>
                <a:srgbClr val="9BBB59"/>
              </a:solidFill>
            </a:ln>
          </c:spPr>
          <c:invertIfNegative val="0"/>
          <c:cat>
            <c:multiLvlStrRef>
              <c:f>Sheet1!$A$2:$B$22</c:f>
              <c:multiLvlStrCache>
                <c:ptCount val="9"/>
                <c:lvl>
                  <c:pt idx="0">
                    <c:v>I</c:v>
                  </c:pt>
                  <c:pt idx="1">
                    <c:v>II</c:v>
                  </c:pt>
                  <c:pt idx="2">
                    <c:v>III</c:v>
                  </c:pt>
                  <c:pt idx="3">
                    <c:v>IV</c:v>
                  </c:pt>
                  <c:pt idx="4">
                    <c:v>I</c:v>
                  </c:pt>
                  <c:pt idx="5">
                    <c:v>II</c:v>
                  </c:pt>
                  <c:pt idx="6">
                    <c:v>III</c:v>
                  </c:pt>
                  <c:pt idx="7">
                    <c:v>IV</c:v>
                  </c:pt>
                  <c:pt idx="8">
                    <c:v>I</c:v>
                  </c:pt>
                </c:lvl>
                <c:lvl>
                  <c:pt idx="0">
                    <c:v>2024</c:v>
                  </c:pt>
                  <c:pt idx="4">
                    <c:v>2025</c:v>
                  </c:pt>
                  <c:pt idx="8">
                    <c:v>2026</c:v>
                  </c:pt>
                </c:lvl>
              </c:multiLvlStrCache>
            </c:multiLvlStrRef>
          </c:cat>
          <c:val>
            <c:numRef>
              <c:f>Sheet1!$D$2:$D$22</c:f>
              <c:numCache>
                <c:formatCode>0.0</c:formatCode>
                <c:ptCount val="9"/>
                <c:pt idx="0">
                  <c:v>1116.3654600562425</c:v>
                </c:pt>
                <c:pt idx="1">
                  <c:v>1190.9280000000001</c:v>
                </c:pt>
                <c:pt idx="2">
                  <c:v>1211.4345500014797</c:v>
                </c:pt>
                <c:pt idx="3">
                  <c:v>1154.7820422488526</c:v>
                </c:pt>
                <c:pt idx="4">
                  <c:v>1159.437288923737</c:v>
                </c:pt>
                <c:pt idx="5">
                  <c:v>1190.746602962616</c:v>
                </c:pt>
                <c:pt idx="6">
                  <c:v>1210</c:v>
                </c:pt>
                <c:pt idx="7">
                  <c:v>1148.7479360542552</c:v>
                </c:pt>
                <c:pt idx="8">
                  <c:v>1137.6666592393524</c:v>
                </c:pt>
              </c:numCache>
            </c:numRef>
          </c:val>
          <c:extLst>
            <c:ext xmlns:c16="http://schemas.microsoft.com/office/drawing/2014/chart" uri="{C3380CC4-5D6E-409C-BE32-E72D297353CC}">
              <c16:uniqueId val="{00000001-CC8D-4143-BB92-4E9AA64258CB}"/>
            </c:ext>
          </c:extLst>
        </c:ser>
        <c:ser>
          <c:idx val="3"/>
          <c:order val="3"/>
          <c:tx>
            <c:strRef>
              <c:f>Sheet1!$C$1</c:f>
              <c:strCache>
                <c:ptCount val="1"/>
                <c:pt idx="0">
                  <c:v>Վարձու աշխատողներ, հազ. մարդ (աճողական)</c:v>
                </c:pt>
              </c:strCache>
            </c:strRef>
          </c:tx>
          <c:invertIfNegative val="0"/>
          <c:cat>
            <c:multiLvlStrRef>
              <c:f>Sheet1!$A$2:$B$22</c:f>
              <c:multiLvlStrCache>
                <c:ptCount val="9"/>
                <c:lvl>
                  <c:pt idx="0">
                    <c:v>I</c:v>
                  </c:pt>
                  <c:pt idx="1">
                    <c:v>II</c:v>
                  </c:pt>
                  <c:pt idx="2">
                    <c:v>III</c:v>
                  </c:pt>
                  <c:pt idx="3">
                    <c:v>IV</c:v>
                  </c:pt>
                  <c:pt idx="4">
                    <c:v>I</c:v>
                  </c:pt>
                  <c:pt idx="5">
                    <c:v>II</c:v>
                  </c:pt>
                  <c:pt idx="6">
                    <c:v>III</c:v>
                  </c:pt>
                  <c:pt idx="7">
                    <c:v>IV</c:v>
                  </c:pt>
                  <c:pt idx="8">
                    <c:v>I</c:v>
                  </c:pt>
                </c:lvl>
                <c:lvl>
                  <c:pt idx="0">
                    <c:v>2024</c:v>
                  </c:pt>
                  <c:pt idx="4">
                    <c:v>2025</c:v>
                  </c:pt>
                  <c:pt idx="8">
                    <c:v>2026</c:v>
                  </c:pt>
                </c:lvl>
              </c:multiLvlStrCache>
            </c:multiLvlStrRef>
          </c:cat>
          <c:val>
            <c:numRef>
              <c:f>Sheet1!$C$2:$C$22</c:f>
              <c:numCache>
                <c:formatCode>0.0</c:formatCode>
                <c:ptCount val="9"/>
                <c:pt idx="0">
                  <c:v>735.92100000000005</c:v>
                </c:pt>
                <c:pt idx="1">
                  <c:v>745.97799999999995</c:v>
                </c:pt>
                <c:pt idx="2">
                  <c:v>752.28755555555551</c:v>
                </c:pt>
                <c:pt idx="3">
                  <c:v>760.5549166666666</c:v>
                </c:pt>
                <c:pt idx="4">
                  <c:v>775.91033333333337</c:v>
                </c:pt>
                <c:pt idx="5">
                  <c:v>783.58733333333339</c:v>
                </c:pt>
                <c:pt idx="6">
                  <c:v>788.64711111111114</c:v>
                </c:pt>
                <c:pt idx="7">
                  <c:v>795.21191666666664</c:v>
                </c:pt>
                <c:pt idx="8">
                  <c:v>798.41533333333336</c:v>
                </c:pt>
              </c:numCache>
            </c:numRef>
          </c:val>
          <c:extLst>
            <c:ext xmlns:c16="http://schemas.microsoft.com/office/drawing/2014/chart" uri="{C3380CC4-5D6E-409C-BE32-E72D297353CC}">
              <c16:uniqueId val="{00000002-CC8D-4143-BB92-4E9AA64258CB}"/>
            </c:ext>
          </c:extLst>
        </c:ser>
        <c:dLbls>
          <c:showLegendKey val="0"/>
          <c:showVal val="0"/>
          <c:showCatName val="0"/>
          <c:showSerName val="0"/>
          <c:showPercent val="0"/>
          <c:showBubbleSize val="0"/>
        </c:dLbls>
        <c:gapWidth val="150"/>
        <c:axId val="121480768"/>
        <c:axId val="1"/>
      </c:barChart>
      <c:lineChart>
        <c:grouping val="standard"/>
        <c:varyColors val="0"/>
        <c:ser>
          <c:idx val="2"/>
          <c:order val="1"/>
          <c:tx>
            <c:strRef>
              <c:f>Sheet1!$F$1</c:f>
              <c:strCache>
                <c:ptCount val="1"/>
                <c:pt idx="0">
                  <c:v>Գործազրկության մակարդակ, %, աջ առանցք</c:v>
                </c:pt>
              </c:strCache>
            </c:strRef>
          </c:tx>
          <c:spPr>
            <a:ln>
              <a:solidFill>
                <a:srgbClr val="4F81BD"/>
              </a:solidFill>
            </a:ln>
            <a:effectLst/>
          </c:spPr>
          <c:marker>
            <c:spPr>
              <a:solidFill>
                <a:srgbClr val="4F81BD"/>
              </a:solidFill>
              <a:ln>
                <a:solidFill>
                  <a:srgbClr val="4F81BD"/>
                </a:solidFill>
              </a:ln>
            </c:spPr>
          </c:marker>
          <c:dLbls>
            <c:dLbl>
              <c:idx val="0"/>
              <c:layout>
                <c:manualLayout>
                  <c:x val="-6.5966963710374527E-2"/>
                  <c:y val="-3.73335006430969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C8D-4143-BB92-4E9AA64258CB}"/>
                </c:ext>
              </c:extLst>
            </c:dLbl>
            <c:dLbl>
              <c:idx val="1"/>
              <c:layout>
                <c:manualLayout>
                  <c:x val="-7.0205415939774002E-2"/>
                  <c:y val="-3.20000836548817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C8D-4143-BB92-4E9AA64258CB}"/>
                </c:ext>
              </c:extLst>
            </c:dLbl>
            <c:dLbl>
              <c:idx val="2"/>
              <c:layout>
                <c:manualLayout>
                  <c:x val="-6.1516966067864269E-2"/>
                  <c:y val="-2.67900576172998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C8D-4143-BB92-4E9AA64258CB}"/>
                </c:ext>
              </c:extLst>
            </c:dLbl>
            <c:dLbl>
              <c:idx val="3"/>
              <c:layout>
                <c:manualLayout>
                  <c:x val="-7.4003803416788472E-2"/>
                  <c:y val="-3.75380368290617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C8D-4143-BB92-4E9AA64258CB}"/>
                </c:ext>
              </c:extLst>
            </c:dLbl>
            <c:dLbl>
              <c:idx val="4"/>
              <c:layout>
                <c:manualLayout>
                  <c:x val="-5.9880239520958084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C8D-4143-BB92-4E9AA64258CB}"/>
                </c:ext>
              </c:extLst>
            </c:dLbl>
            <c:dLbl>
              <c:idx val="5"/>
              <c:layout>
                <c:manualLayout>
                  <c:x val="-5.588822355289421E-2"/>
                  <c:y val="-2.12483399734395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C8D-4143-BB92-4E9AA64258CB}"/>
                </c:ext>
              </c:extLst>
            </c:dLbl>
            <c:dLbl>
              <c:idx val="6"/>
              <c:layout>
                <c:manualLayout>
                  <c:x val="-6.3872255489021951E-2"/>
                  <c:y val="-2.6560424966799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C8D-4143-BB92-4E9AA64258CB}"/>
                </c:ext>
              </c:extLst>
            </c:dLbl>
            <c:dLbl>
              <c:idx val="7"/>
              <c:layout>
                <c:manualLayout>
                  <c:x val="-6.3872255489022103E-2"/>
                  <c:y val="-3.1872509960159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C8D-4143-BB92-4E9AA64258CB}"/>
                </c:ext>
              </c:extLst>
            </c:dLbl>
            <c:dLbl>
              <c:idx val="8"/>
              <c:layout>
                <c:manualLayout>
                  <c:x val="-5.988023952095823E-2"/>
                  <c:y val="-3.1872509960159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C8D-4143-BB92-4E9AA64258CB}"/>
                </c:ext>
              </c:extLst>
            </c:dLbl>
            <c:spPr>
              <a:noFill/>
              <a:ln w="25392">
                <a:noFill/>
              </a:ln>
            </c:spPr>
            <c:txPr>
              <a:bodyPr wrap="square" lIns="38100" tIns="19050" rIns="38100" bIns="19050" anchor="ctr">
                <a:spAutoFit/>
              </a:bodyPr>
              <a:lstStyle/>
              <a:p>
                <a:pPr>
                  <a:defRPr sz="700" b="1">
                    <a:latin typeface="GHEA Grapalat" panose="02000506050000020003" pitchFamily="50"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Sheet1!$B$2:$B$22</c:f>
              <c:strCache>
                <c:ptCount val="9"/>
                <c:pt idx="0">
                  <c:v>I</c:v>
                </c:pt>
                <c:pt idx="1">
                  <c:v>II</c:v>
                </c:pt>
                <c:pt idx="2">
                  <c:v>III</c:v>
                </c:pt>
                <c:pt idx="3">
                  <c:v>IV</c:v>
                </c:pt>
                <c:pt idx="4">
                  <c:v>I</c:v>
                </c:pt>
                <c:pt idx="5">
                  <c:v>II</c:v>
                </c:pt>
                <c:pt idx="6">
                  <c:v>III</c:v>
                </c:pt>
                <c:pt idx="7">
                  <c:v>IV</c:v>
                </c:pt>
                <c:pt idx="8">
                  <c:v>I</c:v>
                </c:pt>
              </c:strCache>
            </c:strRef>
          </c:cat>
          <c:val>
            <c:numRef>
              <c:f>Sheet1!$F$2:$F$22</c:f>
              <c:numCache>
                <c:formatCode>0.0</c:formatCode>
                <c:ptCount val="9"/>
                <c:pt idx="0">
                  <c:v>15.473883786035907</c:v>
                </c:pt>
                <c:pt idx="1">
                  <c:v>13.757989273770848</c:v>
                </c:pt>
                <c:pt idx="2">
                  <c:v>13.287108295799191</c:v>
                </c:pt>
                <c:pt idx="3">
                  <c:v>12.944640200077357</c:v>
                </c:pt>
                <c:pt idx="4">
                  <c:v>13.962855951846562</c:v>
                </c:pt>
                <c:pt idx="5">
                  <c:v>12.256612700928137</c:v>
                </c:pt>
                <c:pt idx="6">
                  <c:v>11.76256107343397</c:v>
                </c:pt>
                <c:pt idx="7">
                  <c:v>13.112163081446818</c:v>
                </c:pt>
                <c:pt idx="8">
                  <c:v>13.725704980174728</c:v>
                </c:pt>
              </c:numCache>
            </c:numRef>
          </c:val>
          <c:smooth val="0"/>
          <c:extLst>
            <c:ext xmlns:c16="http://schemas.microsoft.com/office/drawing/2014/chart" uri="{C3380CC4-5D6E-409C-BE32-E72D297353CC}">
              <c16:uniqueId val="{0000000C-CC8D-4143-BB92-4E9AA64258CB}"/>
            </c:ext>
          </c:extLst>
        </c:ser>
        <c:dLbls>
          <c:showLegendKey val="0"/>
          <c:showVal val="0"/>
          <c:showCatName val="0"/>
          <c:showSerName val="0"/>
          <c:showPercent val="0"/>
          <c:showBubbleSize val="0"/>
        </c:dLbls>
        <c:marker val="1"/>
        <c:smooth val="0"/>
        <c:axId val="3"/>
        <c:axId val="4"/>
      </c:lineChart>
      <c:catAx>
        <c:axId val="121480768"/>
        <c:scaling>
          <c:orientation val="minMax"/>
        </c:scaling>
        <c:delete val="0"/>
        <c:axPos val="b"/>
        <c:numFmt formatCode="General" sourceLinked="1"/>
        <c:majorTickMark val="none"/>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ysClr val="windowText" lastClr="000000"/>
                </a:solidFill>
                <a:latin typeface="GHEA Grapalat" panose="02000506050000020003" pitchFamily="50" charset="0"/>
                <a:ea typeface="+mn-ea"/>
                <a:cs typeface="+mn-cs"/>
              </a:defRPr>
            </a:pPr>
            <a:endParaRPr lang="en-US"/>
          </a:p>
        </c:txPr>
        <c:crossAx val="1"/>
        <c:crosses val="autoZero"/>
        <c:auto val="1"/>
        <c:lblAlgn val="ctr"/>
        <c:lblOffset val="0"/>
        <c:noMultiLvlLbl val="0"/>
      </c:catAx>
      <c:valAx>
        <c:axId val="1"/>
        <c:scaling>
          <c:orientation val="minMax"/>
          <c:max val="1400"/>
          <c:min val="0"/>
        </c:scaling>
        <c:delete val="0"/>
        <c:axPos val="l"/>
        <c:majorGridlines>
          <c:spPr>
            <a:ln w="9522" cap="flat" cmpd="sng" algn="ctr">
              <a:solidFill>
                <a:schemeClr val="tx1">
                  <a:lumMod val="15000"/>
                  <a:lumOff val="85000"/>
                </a:schemeClr>
              </a:solidFill>
              <a:round/>
            </a:ln>
            <a:effectLst/>
          </c:spPr>
        </c:majorGridlines>
        <c:numFmt formatCode="0.0" sourceLinked="1"/>
        <c:majorTickMark val="none"/>
        <c:minorTickMark val="none"/>
        <c:tickLblPos val="nextTo"/>
        <c:spPr>
          <a:ln w="9522">
            <a:noFill/>
          </a:ln>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121480768"/>
        <c:crosses val="autoZero"/>
        <c:crossBetween val="between"/>
        <c:majorUnit val="300"/>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max val="22"/>
        </c:scaling>
        <c:delete val="0"/>
        <c:axPos val="r"/>
        <c:numFmt formatCode="0.0" sourceLinked="1"/>
        <c:majorTickMark val="out"/>
        <c:minorTickMark val="none"/>
        <c:tickLblPos val="nextTo"/>
        <c:txPr>
          <a:bodyPr/>
          <a:lstStyle/>
          <a:p>
            <a:pPr>
              <a:defRPr sz="700">
                <a:latin typeface="GHEA Grapalat" panose="02000506050000020003" pitchFamily="50" charset="0"/>
              </a:defRPr>
            </a:pPr>
            <a:endParaRPr lang="en-US"/>
          </a:p>
        </c:txPr>
        <c:crossAx val="3"/>
        <c:crosses val="max"/>
        <c:crossBetween val="between"/>
      </c:valAx>
      <c:spPr>
        <a:solidFill>
          <a:schemeClr val="bg1"/>
        </a:solidFill>
        <a:ln>
          <a:noFill/>
        </a:ln>
        <a:effectLst/>
      </c:spPr>
    </c:plotArea>
    <c:legend>
      <c:legendPos val="b"/>
      <c:layout>
        <c:manualLayout>
          <c:xMode val="edge"/>
          <c:yMode val="edge"/>
          <c:x val="3.0738208622125826E-2"/>
          <c:y val="0.79563405171963064"/>
          <c:w val="0.92413804311612757"/>
          <c:h val="0.19374177829364955"/>
        </c:manualLayout>
      </c:layout>
      <c:overlay val="0"/>
      <c:spPr>
        <a:noFill/>
        <a:ln w="25392">
          <a:noFill/>
        </a:ln>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2" cap="flat" cmpd="sng" algn="ctr">
      <a:solidFill>
        <a:schemeClr val="bg2"/>
      </a:solidFill>
      <a:round/>
    </a:ln>
    <a:effectLst/>
  </c:spPr>
  <c:txPr>
    <a:bodyPr/>
    <a:lstStyle/>
    <a:p>
      <a:pPr>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671697287839014E-2"/>
          <c:y val="6.2195054565547726E-2"/>
          <c:w val="0.84915654061760815"/>
          <c:h val="0.78928958926418258"/>
        </c:manualLayout>
      </c:layout>
      <c:barChart>
        <c:barDir val="col"/>
        <c:grouping val="clustered"/>
        <c:varyColors val="0"/>
        <c:ser>
          <c:idx val="1"/>
          <c:order val="2"/>
          <c:tx>
            <c:strRef>
              <c:f>Sheet1!$E$1</c:f>
              <c:strCache>
                <c:ptCount val="1"/>
                <c:pt idx="0">
                  <c:v>Պետական հատված</c:v>
                </c:pt>
              </c:strCache>
            </c:strRef>
          </c:tx>
          <c:spPr>
            <a:solidFill>
              <a:sysClr val="window" lastClr="FFFFFF">
                <a:lumMod val="65000"/>
              </a:sysClr>
            </a:solidFill>
            <a:effectLst/>
          </c:spPr>
          <c:invertIfNegative val="0"/>
          <c:cat>
            <c:strRef>
              <c:f>Sheet1!$B$2:$B$21</c:f>
              <c:strCache>
                <c:ptCount val="10"/>
                <c:pt idx="0">
                  <c:v>I</c:v>
                </c:pt>
                <c:pt idx="1">
                  <c:v>I-II</c:v>
                </c:pt>
                <c:pt idx="2">
                  <c:v>I-III</c:v>
                </c:pt>
                <c:pt idx="3">
                  <c:v>I-IV</c:v>
                </c:pt>
                <c:pt idx="4">
                  <c:v>I</c:v>
                </c:pt>
                <c:pt idx="5">
                  <c:v>I-II</c:v>
                </c:pt>
                <c:pt idx="6">
                  <c:v>I-III</c:v>
                </c:pt>
                <c:pt idx="7">
                  <c:v>I-IV</c:v>
                </c:pt>
                <c:pt idx="8">
                  <c:v>I</c:v>
                </c:pt>
                <c:pt idx="9">
                  <c:v>I-II</c:v>
                </c:pt>
              </c:strCache>
            </c:strRef>
          </c:cat>
          <c:val>
            <c:numRef>
              <c:f>Sheet1!$E$2:$E$21</c:f>
              <c:numCache>
                <c:formatCode>0.0</c:formatCode>
                <c:ptCount val="10"/>
                <c:pt idx="0">
                  <c:v>10.166342987418716</c:v>
                </c:pt>
                <c:pt idx="1">
                  <c:v>9.9995315159622891</c:v>
                </c:pt>
                <c:pt idx="2">
                  <c:v>9.7938612881397091</c:v>
                </c:pt>
                <c:pt idx="3">
                  <c:v>7.9112723991109988</c:v>
                </c:pt>
                <c:pt idx="4">
                  <c:v>5.1688127538897817</c:v>
                </c:pt>
                <c:pt idx="5">
                  <c:v>4.7525305344053237</c:v>
                </c:pt>
                <c:pt idx="6">
                  <c:v>4.8165728373256798</c:v>
                </c:pt>
                <c:pt idx="7">
                  <c:v>6.478977242397832</c:v>
                </c:pt>
                <c:pt idx="8">
                  <c:v>6.9467868429869526</c:v>
                </c:pt>
                <c:pt idx="9">
                  <c:v>9.076728373690031</c:v>
                </c:pt>
              </c:numCache>
            </c:numRef>
          </c:val>
          <c:extLst>
            <c:ext xmlns:c16="http://schemas.microsoft.com/office/drawing/2014/chart" uri="{C3380CC4-5D6E-409C-BE32-E72D297353CC}">
              <c16:uniqueId val="{00000000-DF8B-48DA-9FF2-4AFE6D9A7BBF}"/>
            </c:ext>
          </c:extLst>
        </c:ser>
        <c:ser>
          <c:idx val="2"/>
          <c:order val="3"/>
          <c:tx>
            <c:strRef>
              <c:f>Sheet1!$F$1</c:f>
              <c:strCache>
                <c:ptCount val="1"/>
                <c:pt idx="0">
                  <c:v>Մասնավոր հատված</c:v>
                </c:pt>
              </c:strCache>
            </c:strRef>
          </c:tx>
          <c:spPr>
            <a:solidFill>
              <a:srgbClr val="1F497D">
                <a:lumMod val="60000"/>
                <a:lumOff val="40000"/>
              </a:srgbClr>
            </a:solidFill>
          </c:spPr>
          <c:invertIfNegative val="0"/>
          <c:cat>
            <c:strRef>
              <c:f>Sheet1!$B$2:$B$21</c:f>
              <c:strCache>
                <c:ptCount val="10"/>
                <c:pt idx="0">
                  <c:v>I</c:v>
                </c:pt>
                <c:pt idx="1">
                  <c:v>I-II</c:v>
                </c:pt>
                <c:pt idx="2">
                  <c:v>I-III</c:v>
                </c:pt>
                <c:pt idx="3">
                  <c:v>I-IV</c:v>
                </c:pt>
                <c:pt idx="4">
                  <c:v>I</c:v>
                </c:pt>
                <c:pt idx="5">
                  <c:v>I-II</c:v>
                </c:pt>
                <c:pt idx="6">
                  <c:v>I-III</c:v>
                </c:pt>
                <c:pt idx="7">
                  <c:v>I-IV</c:v>
                </c:pt>
                <c:pt idx="8">
                  <c:v>I</c:v>
                </c:pt>
                <c:pt idx="9">
                  <c:v>I-II</c:v>
                </c:pt>
              </c:strCache>
            </c:strRef>
          </c:cat>
          <c:val>
            <c:numRef>
              <c:f>Sheet1!$F$2:$F$21</c:f>
              <c:numCache>
                <c:formatCode>0.0</c:formatCode>
                <c:ptCount val="10"/>
                <c:pt idx="0">
                  <c:v>7.2609859820444171</c:v>
                </c:pt>
                <c:pt idx="1">
                  <c:v>5.5748756639013379</c:v>
                </c:pt>
                <c:pt idx="2">
                  <c:v>5.5399401891130395</c:v>
                </c:pt>
                <c:pt idx="3">
                  <c:v>5.6639063198839779</c:v>
                </c:pt>
                <c:pt idx="4">
                  <c:v>5.4299942539743284</c:v>
                </c:pt>
                <c:pt idx="5">
                  <c:v>5.5194635605061393</c:v>
                </c:pt>
                <c:pt idx="6">
                  <c:v>5.1207295860372426</c:v>
                </c:pt>
                <c:pt idx="7">
                  <c:v>5.0524614555809109</c:v>
                </c:pt>
                <c:pt idx="8">
                  <c:v>1.6955599316561774</c:v>
                </c:pt>
                <c:pt idx="9">
                  <c:v>4.3162919739056633</c:v>
                </c:pt>
              </c:numCache>
            </c:numRef>
          </c:val>
          <c:extLst>
            <c:ext xmlns:c16="http://schemas.microsoft.com/office/drawing/2014/chart" uri="{C3380CC4-5D6E-409C-BE32-E72D297353CC}">
              <c16:uniqueId val="{00000001-DF8B-48DA-9FF2-4AFE6D9A7BBF}"/>
            </c:ext>
          </c:extLst>
        </c:ser>
        <c:dLbls>
          <c:showLegendKey val="0"/>
          <c:showVal val="0"/>
          <c:showCatName val="0"/>
          <c:showSerName val="0"/>
          <c:showPercent val="0"/>
          <c:showBubbleSize val="0"/>
        </c:dLbls>
        <c:gapWidth val="150"/>
        <c:axId val="175222288"/>
        <c:axId val="1"/>
      </c:barChart>
      <c:lineChart>
        <c:grouping val="standard"/>
        <c:varyColors val="0"/>
        <c:ser>
          <c:idx val="3"/>
          <c:order val="0"/>
          <c:tx>
            <c:strRef>
              <c:f>Sheet1!$C$1</c:f>
              <c:strCache>
                <c:ptCount val="1"/>
                <c:pt idx="0">
                  <c:v>Ընդամենը (իրական)</c:v>
                </c:pt>
              </c:strCache>
            </c:strRef>
          </c:tx>
          <c:spPr>
            <a:ln>
              <a:solidFill>
                <a:srgbClr val="F79646">
                  <a:lumMod val="60000"/>
                  <a:lumOff val="40000"/>
                </a:srgbClr>
              </a:solidFill>
            </a:ln>
          </c:spPr>
          <c:marker>
            <c:spPr>
              <a:solidFill>
                <a:srgbClr val="F79646">
                  <a:lumMod val="60000"/>
                  <a:lumOff val="40000"/>
                </a:srgbClr>
              </a:solidFill>
              <a:ln>
                <a:solidFill>
                  <a:srgbClr val="F79646">
                    <a:lumMod val="60000"/>
                    <a:lumOff val="40000"/>
                  </a:srgbClr>
                </a:solidFill>
              </a:ln>
            </c:spPr>
          </c:marker>
          <c:dLbls>
            <c:dLbl>
              <c:idx val="0"/>
              <c:layout>
                <c:manualLayout>
                  <c:x val="-5.4764685945788309E-2"/>
                  <c:y val="-4.92462311557788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F8B-48DA-9FF2-4AFE6D9A7BBF}"/>
                </c:ext>
              </c:extLst>
            </c:dLbl>
            <c:dLbl>
              <c:idx val="1"/>
              <c:layout>
                <c:manualLayout>
                  <c:x val="-4.9339418158315794E-2"/>
                  <c:y val="-4.39566252314202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F8B-48DA-9FF2-4AFE6D9A7BBF}"/>
                </c:ext>
              </c:extLst>
            </c:dLbl>
            <c:dLbl>
              <c:idx val="2"/>
              <c:layout>
                <c:manualLayout>
                  <c:x val="-5.0120041301143697E-2"/>
                  <c:y val="-4.92462311557788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F8B-48DA-9FF2-4AFE6D9A7BBF}"/>
                </c:ext>
              </c:extLst>
            </c:dLbl>
            <c:dLbl>
              <c:idx val="3"/>
              <c:layout>
                <c:manualLayout>
                  <c:x val="-5.6336336336336335E-2"/>
                  <c:y val="5.12562814070351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F8B-48DA-9FF2-4AFE6D9A7BBF}"/>
                </c:ext>
              </c:extLst>
            </c:dLbl>
            <c:dLbl>
              <c:idx val="4"/>
              <c:layout>
                <c:manualLayout>
                  <c:x val="-5.2001923183025545E-2"/>
                  <c:y val="3.53874636339592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F8B-48DA-9FF2-4AFE6D9A7BBF}"/>
                </c:ext>
              </c:extLst>
            </c:dLbl>
            <c:dLbl>
              <c:idx val="5"/>
              <c:layout>
                <c:manualLayout>
                  <c:x val="-5.7367288548390981E-2"/>
                  <c:y val="3.5387463633959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F8B-48DA-9FF2-4AFE6D9A7BBF}"/>
                </c:ext>
              </c:extLst>
            </c:dLbl>
            <c:dLbl>
              <c:idx val="6"/>
              <c:layout>
                <c:manualLayout>
                  <c:x val="-5.6336336336336335E-2"/>
                  <c:y val="4.06770695583179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F8B-48DA-9FF2-4AFE6D9A7BBF}"/>
                </c:ext>
              </c:extLst>
            </c:dLbl>
            <c:dLbl>
              <c:idx val="7"/>
              <c:layout>
                <c:manualLayout>
                  <c:x val="-5.7107185926083562E-2"/>
                  <c:y val="3.53874636339591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F8B-48DA-9FF2-4AFE6D9A7BBF}"/>
                </c:ext>
              </c:extLst>
            </c:dLbl>
            <c:dLbl>
              <c:idx val="8"/>
              <c:layout>
                <c:manualLayout>
                  <c:x val="-8.0050128869026502E-2"/>
                  <c:y val="3.00978577096006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F8B-48DA-9FF2-4AFE6D9A7BBF}"/>
                </c:ext>
              </c:extLst>
            </c:dLbl>
            <c:dLbl>
              <c:idx val="9"/>
              <c:layout>
                <c:manualLayout>
                  <c:x val="-6.339347221236985E-2"/>
                  <c:y val="-4.39566252314203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F8B-48DA-9FF2-4AFE6D9A7BBF}"/>
                </c:ext>
              </c:extLst>
            </c:dLbl>
            <c:spPr>
              <a:noFill/>
              <a:ln w="25364">
                <a:noFill/>
              </a:ln>
            </c:spPr>
            <c:txPr>
              <a:bodyPr wrap="square" lIns="38100" tIns="19050" rIns="38100" bIns="19050" anchor="ctr">
                <a:spAutoFit/>
              </a:bodyPr>
              <a:lstStyle/>
              <a:p>
                <a:pPr>
                  <a:defRPr sz="699">
                    <a:latin typeface="GHEA Grapalat" panose="02000506050000020003" pitchFamily="50"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Sheet1!$A$2:$B$21</c:f>
              <c:multiLvlStrCache>
                <c:ptCount val="10"/>
                <c:lvl>
                  <c:pt idx="0">
                    <c:v>I</c:v>
                  </c:pt>
                  <c:pt idx="1">
                    <c:v>I-II</c:v>
                  </c:pt>
                  <c:pt idx="2">
                    <c:v>I-III</c:v>
                  </c:pt>
                  <c:pt idx="3">
                    <c:v>I-IV</c:v>
                  </c:pt>
                  <c:pt idx="4">
                    <c:v>I</c:v>
                  </c:pt>
                  <c:pt idx="5">
                    <c:v>I-II</c:v>
                  </c:pt>
                  <c:pt idx="6">
                    <c:v>I-III</c:v>
                  </c:pt>
                  <c:pt idx="7">
                    <c:v>I-IV</c:v>
                  </c:pt>
                  <c:pt idx="8">
                    <c:v>I</c:v>
                  </c:pt>
                  <c:pt idx="9">
                    <c:v>I-II</c:v>
                  </c:pt>
                </c:lvl>
                <c:lvl>
                  <c:pt idx="0">
                    <c:v>2024</c:v>
                  </c:pt>
                  <c:pt idx="4">
                    <c:v>2025</c:v>
                  </c:pt>
                  <c:pt idx="8">
                    <c:v>2026</c:v>
                  </c:pt>
                </c:lvl>
              </c:multiLvlStrCache>
            </c:multiLvlStrRef>
          </c:cat>
          <c:val>
            <c:numRef>
              <c:f>Sheet1!$C$2:$C$21</c:f>
              <c:numCache>
                <c:formatCode>0.0</c:formatCode>
                <c:ptCount val="10"/>
                <c:pt idx="0">
                  <c:v>9.5330659084801113</c:v>
                </c:pt>
                <c:pt idx="1">
                  <c:v>7.3694876748301681</c:v>
                </c:pt>
                <c:pt idx="2">
                  <c:v>6.6700315195043345</c:v>
                </c:pt>
                <c:pt idx="3">
                  <c:v>6.0764874743368438</c:v>
                </c:pt>
                <c:pt idx="4">
                  <c:v>3.0763341021743145</c:v>
                </c:pt>
                <c:pt idx="5">
                  <c:v>2.3711590642855356</c:v>
                </c:pt>
                <c:pt idx="6">
                  <c:v>1.9237213430441074</c:v>
                </c:pt>
                <c:pt idx="7">
                  <c:v>2.1813941592062918</c:v>
                </c:pt>
                <c:pt idx="8">
                  <c:v>-1.241385613983212</c:v>
                </c:pt>
                <c:pt idx="9">
                  <c:v>0.89367468241331949</c:v>
                </c:pt>
              </c:numCache>
            </c:numRef>
          </c:val>
          <c:smooth val="0"/>
          <c:extLst>
            <c:ext xmlns:c16="http://schemas.microsoft.com/office/drawing/2014/chart" uri="{C3380CC4-5D6E-409C-BE32-E72D297353CC}">
              <c16:uniqueId val="{0000000C-DF8B-48DA-9FF2-4AFE6D9A7BBF}"/>
            </c:ext>
          </c:extLst>
        </c:ser>
        <c:ser>
          <c:idx val="0"/>
          <c:order val="1"/>
          <c:tx>
            <c:strRef>
              <c:f>Sheet1!$D$1</c:f>
              <c:strCache>
                <c:ptCount val="1"/>
                <c:pt idx="0">
                  <c:v>Ընդամենը (անվանական)</c:v>
                </c:pt>
              </c:strCache>
            </c:strRef>
          </c:tx>
          <c:spPr>
            <a:ln w="28535" cap="rnd">
              <a:solidFill>
                <a:srgbClr val="1F497D"/>
              </a:solidFill>
              <a:round/>
            </a:ln>
            <a:effectLst/>
          </c:spPr>
          <c:marker>
            <c:spPr>
              <a:solidFill>
                <a:srgbClr val="1F497D"/>
              </a:solidFill>
              <a:ln>
                <a:solidFill>
                  <a:srgbClr val="1F497D"/>
                </a:solidFill>
              </a:ln>
            </c:spPr>
          </c:marker>
          <c:dLbls>
            <c:dLbl>
              <c:idx val="0"/>
              <c:layout>
                <c:manualLayout>
                  <c:x val="-7.022014140124376E-2"/>
                  <c:y val="3.86670193070616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F8B-48DA-9FF2-4AFE6D9A7BBF}"/>
                </c:ext>
              </c:extLst>
            </c:dLbl>
            <c:dLbl>
              <c:idx val="1"/>
              <c:layout>
                <c:manualLayout>
                  <c:x val="-6.4344344344344384E-2"/>
                  <c:y val="3.89314996032795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F8B-48DA-9FF2-4AFE6D9A7BBF}"/>
                </c:ext>
              </c:extLst>
            </c:dLbl>
            <c:dLbl>
              <c:idx val="2"/>
              <c:layout>
                <c:manualLayout>
                  <c:x val="-5.5185264004161676E-2"/>
                  <c:y val="3.86670193070616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F8B-48DA-9FF2-4AFE6D9A7BBF}"/>
                </c:ext>
              </c:extLst>
            </c:dLbl>
            <c:dLbl>
              <c:idx val="3"/>
              <c:layout>
                <c:manualLayout>
                  <c:x val="-4.6396317577420014E-2"/>
                  <c:y val="-4.59666754826765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F8B-48DA-9FF2-4AFE6D9A7BBF}"/>
                </c:ext>
              </c:extLst>
            </c:dLbl>
            <c:dLbl>
              <c:idx val="4"/>
              <c:layout>
                <c:manualLayout>
                  <c:x val="-5.3703782522680162E-2"/>
                  <c:y val="-3.538746363395931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F8B-48DA-9FF2-4AFE6D9A7BBF}"/>
                </c:ext>
              </c:extLst>
            </c:dLbl>
            <c:dLbl>
              <c:idx val="5"/>
              <c:layout>
                <c:manualLayout>
                  <c:x val="-5.8768689949792313E-2"/>
                  <c:y val="-2.48082517852420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F8B-48DA-9FF2-4AFE6D9A7BBF}"/>
                </c:ext>
              </c:extLst>
            </c:dLbl>
            <c:dLbl>
              <c:idx val="6"/>
              <c:layout>
                <c:manualLayout>
                  <c:x val="-5.4434592072387419E-2"/>
                  <c:y val="-5.12562814070352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F8B-48DA-9FF2-4AFE6D9A7BBF}"/>
                </c:ext>
              </c:extLst>
            </c:dLbl>
            <c:dLbl>
              <c:idx val="7"/>
              <c:layout>
                <c:manualLayout>
                  <c:x val="-5.4764685945788455E-2"/>
                  <c:y val="-3.53874636339592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F8B-48DA-9FF2-4AFE6D9A7BBF}"/>
                </c:ext>
              </c:extLst>
            </c:dLbl>
            <c:dLbl>
              <c:idx val="8"/>
              <c:layout>
                <c:manualLayout>
                  <c:x val="-2.2112190931088568E-2"/>
                  <c:y val="1.63977783655108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F8B-48DA-9FF2-4AFE6D9A7BBF}"/>
                </c:ext>
              </c:extLst>
            </c:dLbl>
            <c:dLbl>
              <c:idx val="9"/>
              <c:layout>
                <c:manualLayout>
                  <c:x val="-4.6896975715873354E-2"/>
                  <c:y val="-4.04125892620999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F8B-48DA-9FF2-4AFE6D9A7BBF}"/>
                </c:ext>
              </c:extLst>
            </c:dLbl>
            <c:spPr>
              <a:noFill/>
              <a:ln w="25364">
                <a:noFill/>
              </a:ln>
            </c:spPr>
            <c:txPr>
              <a:bodyPr rot="0" spcFirstLastPara="1" vertOverflow="ellipsis" vert="horz" wrap="square" lIns="38100" tIns="19050" rIns="38100" bIns="19050" anchor="ctr" anchorCtr="1">
                <a:spAutoFit/>
              </a:bodyPr>
              <a:lstStyle/>
              <a:p>
                <a:pPr>
                  <a:defRPr sz="699" b="1"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Sheet1!$A$2:$B$21</c:f>
              <c:multiLvlStrCache>
                <c:ptCount val="10"/>
                <c:lvl>
                  <c:pt idx="0">
                    <c:v>I</c:v>
                  </c:pt>
                  <c:pt idx="1">
                    <c:v>I-II</c:v>
                  </c:pt>
                  <c:pt idx="2">
                    <c:v>I-III</c:v>
                  </c:pt>
                  <c:pt idx="3">
                    <c:v>I-IV</c:v>
                  </c:pt>
                  <c:pt idx="4">
                    <c:v>I</c:v>
                  </c:pt>
                  <c:pt idx="5">
                    <c:v>I-II</c:v>
                  </c:pt>
                  <c:pt idx="6">
                    <c:v>I-III</c:v>
                  </c:pt>
                  <c:pt idx="7">
                    <c:v>I-IV</c:v>
                  </c:pt>
                  <c:pt idx="8">
                    <c:v>I</c:v>
                  </c:pt>
                  <c:pt idx="9">
                    <c:v>I-II</c:v>
                  </c:pt>
                </c:lvl>
                <c:lvl>
                  <c:pt idx="0">
                    <c:v>2024</c:v>
                  </c:pt>
                  <c:pt idx="4">
                    <c:v>2025</c:v>
                  </c:pt>
                  <c:pt idx="8">
                    <c:v>2026</c:v>
                  </c:pt>
                </c:lvl>
              </c:multiLvlStrCache>
            </c:multiLvlStrRef>
          </c:cat>
          <c:val>
            <c:numRef>
              <c:f>Sheet1!$D$2:$D$21</c:f>
              <c:numCache>
                <c:formatCode>0.0</c:formatCode>
                <c:ptCount val="10"/>
                <c:pt idx="0">
                  <c:v>8.1775942178626764</c:v>
                </c:pt>
                <c:pt idx="1">
                  <c:v>6.7515762732615059</c:v>
                </c:pt>
                <c:pt idx="2">
                  <c:v>6.6467774526330885</c:v>
                </c:pt>
                <c:pt idx="3">
                  <c:v>6.3623636080801731</c:v>
                </c:pt>
                <c:pt idx="4">
                  <c:v>5.6561285920835331</c:v>
                </c:pt>
                <c:pt idx="5">
                  <c:v>5.5902201610619926</c:v>
                </c:pt>
                <c:pt idx="6">
                  <c:v>5.2758906142954913</c:v>
                </c:pt>
                <c:pt idx="7">
                  <c:v>5.5604306826570848</c:v>
                </c:pt>
                <c:pt idx="8">
                  <c:v>2.928400602623185</c:v>
                </c:pt>
                <c:pt idx="9">
                  <c:v>5.486960116004866</c:v>
                </c:pt>
              </c:numCache>
            </c:numRef>
          </c:val>
          <c:smooth val="0"/>
          <c:extLst>
            <c:ext xmlns:c16="http://schemas.microsoft.com/office/drawing/2014/chart" uri="{C3380CC4-5D6E-409C-BE32-E72D297353CC}">
              <c16:uniqueId val="{00000017-DF8B-48DA-9FF2-4AFE6D9A7BBF}"/>
            </c:ext>
          </c:extLst>
        </c:ser>
        <c:dLbls>
          <c:showLegendKey val="0"/>
          <c:showVal val="0"/>
          <c:showCatName val="0"/>
          <c:showSerName val="0"/>
          <c:showPercent val="0"/>
          <c:showBubbleSize val="0"/>
        </c:dLbls>
        <c:marker val="1"/>
        <c:smooth val="0"/>
        <c:axId val="175222288"/>
        <c:axId val="1"/>
      </c:lineChart>
      <c:catAx>
        <c:axId val="175222288"/>
        <c:scaling>
          <c:orientation val="minMax"/>
        </c:scaling>
        <c:delete val="0"/>
        <c:axPos val="b"/>
        <c:numFmt formatCode="General" sourceLinked="1"/>
        <c:majorTickMark val="none"/>
        <c:minorTickMark val="none"/>
        <c:tickLblPos val="nextTo"/>
        <c:spPr>
          <a:noFill/>
          <a:ln w="9512" cap="flat" cmpd="sng" algn="ctr">
            <a:solidFill>
              <a:schemeClr val="tx1">
                <a:lumMod val="15000"/>
                <a:lumOff val="85000"/>
              </a:schemeClr>
            </a:solidFill>
            <a:round/>
          </a:ln>
          <a:effectLst/>
        </c:spPr>
        <c:txPr>
          <a:bodyPr rot="-60000000" spcFirstLastPara="1" vertOverflow="ellipsis" vert="horz" wrap="square" anchor="ctr" anchorCtr="1"/>
          <a:lstStyle/>
          <a:p>
            <a:pPr>
              <a:defRPr sz="500" b="0" i="0" u="none" strike="noStrike" kern="1200" baseline="0">
                <a:solidFill>
                  <a:sysClr val="windowText" lastClr="000000"/>
                </a:solidFill>
                <a:latin typeface="GHEA Grapalat" panose="02000506050000020003" pitchFamily="50" charset="0"/>
                <a:ea typeface="+mn-ea"/>
                <a:cs typeface="+mn-cs"/>
              </a:defRPr>
            </a:pPr>
            <a:endParaRPr lang="en-US"/>
          </a:p>
        </c:txPr>
        <c:crossAx val="1"/>
        <c:crosses val="autoZero"/>
        <c:auto val="1"/>
        <c:lblAlgn val="ctr"/>
        <c:lblOffset val="200"/>
        <c:noMultiLvlLbl val="0"/>
      </c:catAx>
      <c:valAx>
        <c:axId val="1"/>
        <c:scaling>
          <c:orientation val="minMax"/>
          <c:max val="12"/>
        </c:scaling>
        <c:delete val="0"/>
        <c:axPos val="l"/>
        <c:majorGridlines>
          <c:spPr>
            <a:ln w="9512" cap="flat" cmpd="sng" algn="ctr">
              <a:solidFill>
                <a:schemeClr val="tx1">
                  <a:lumMod val="15000"/>
                  <a:lumOff val="85000"/>
                </a:schemeClr>
              </a:solidFill>
              <a:round/>
            </a:ln>
            <a:effectLst/>
          </c:spPr>
        </c:majorGridlines>
        <c:numFmt formatCode="0.0" sourceLinked="1"/>
        <c:majorTickMark val="none"/>
        <c:minorTickMark val="none"/>
        <c:tickLblPos val="nextTo"/>
        <c:spPr>
          <a:ln w="9512">
            <a:noFill/>
          </a:ln>
        </c:spPr>
        <c:txPr>
          <a:bodyPr rot="-60000000" spcFirstLastPara="1" vertOverflow="ellipsis" vert="horz" wrap="square" anchor="ctr" anchorCtr="1"/>
          <a:lstStyle/>
          <a:p>
            <a:pPr>
              <a:defRPr sz="699" b="0" i="0" u="none" strike="noStrike" kern="1200" baseline="0">
                <a:solidFill>
                  <a:sysClr val="windowText" lastClr="000000"/>
                </a:solidFill>
                <a:latin typeface="GHEA Grapalat" panose="02000506050000020003" pitchFamily="50" charset="0"/>
                <a:ea typeface="+mn-ea"/>
                <a:cs typeface="+mn-cs"/>
              </a:defRPr>
            </a:pPr>
            <a:endParaRPr lang="en-US"/>
          </a:p>
        </c:txPr>
        <c:crossAx val="175222288"/>
        <c:crosses val="autoZero"/>
        <c:crossBetween val="between"/>
        <c:majorUnit val="3"/>
      </c:valAx>
      <c:spPr>
        <a:solidFill>
          <a:schemeClr val="bg1"/>
        </a:solidFill>
        <a:ln>
          <a:noFill/>
        </a:ln>
        <a:effectLst/>
      </c:spPr>
    </c:plotArea>
    <c:legend>
      <c:legendPos val="b"/>
      <c:layout>
        <c:manualLayout>
          <c:xMode val="edge"/>
          <c:yMode val="edge"/>
          <c:x val="3.1627848320761709E-2"/>
          <c:y val="0.85932804216206027"/>
          <c:w val="0.91926004744902379"/>
          <c:h val="0.10348736288442033"/>
        </c:manualLayout>
      </c:layout>
      <c:overlay val="0"/>
      <c:spPr>
        <a:noFill/>
        <a:ln w="25364">
          <a:noFill/>
        </a:ln>
      </c:spPr>
      <c:txPr>
        <a:bodyPr rot="0" spcFirstLastPara="1" vertOverflow="ellipsis" vert="horz" wrap="square" anchor="ctr" anchorCtr="1"/>
        <a:lstStyle/>
        <a:p>
          <a:pPr>
            <a:defRPr sz="699"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12" cap="flat" cmpd="sng" algn="ctr">
      <a:solidFill>
        <a:schemeClr val="bg2"/>
      </a:solidFill>
      <a:round/>
    </a:ln>
    <a:effectLst/>
  </c:spPr>
  <c:txPr>
    <a:bodyPr/>
    <a:lstStyle/>
    <a:p>
      <a:pPr>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6541132136917157E-2"/>
          <c:y val="4.9886916677788155E-2"/>
          <c:w val="0.93150280882541081"/>
          <c:h val="0.5494777114554229"/>
        </c:manualLayout>
      </c:layout>
      <c:lineChart>
        <c:grouping val="standard"/>
        <c:varyColors val="0"/>
        <c:ser>
          <c:idx val="0"/>
          <c:order val="0"/>
          <c:tx>
            <c:strRef>
              <c:f>Sheet1!$D$1</c:f>
              <c:strCache>
                <c:ptCount val="1"/>
                <c:pt idx="0">
                  <c:v>12-ամսյա գնաճ, %</c:v>
                </c:pt>
              </c:strCache>
            </c:strRef>
          </c:tx>
          <c:spPr>
            <a:ln w="28564" cap="rnd">
              <a:solidFill>
                <a:srgbClr val="ED7D31">
                  <a:lumMod val="60000"/>
                  <a:lumOff val="40000"/>
                </a:srgbClr>
              </a:solidFill>
              <a:round/>
            </a:ln>
            <a:effectLst/>
          </c:spPr>
          <c:marker>
            <c:symbol val="none"/>
          </c:marker>
          <c:cat>
            <c:multiLvlStrRef>
              <c:f>Sheet1!$A$14:$B$103</c:f>
              <c:multiLvlStrCache>
                <c:ptCount val="66"/>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pt idx="65">
                    <c:v>6</c:v>
                  </c:pt>
                </c:lvl>
                <c:lvl>
                  <c:pt idx="0">
                    <c:v>2021</c:v>
                  </c:pt>
                  <c:pt idx="12">
                    <c:v>2022</c:v>
                  </c:pt>
                  <c:pt idx="24">
                    <c:v>2023</c:v>
                  </c:pt>
                  <c:pt idx="36">
                    <c:v>2024</c:v>
                  </c:pt>
                  <c:pt idx="48">
                    <c:v>2025</c:v>
                  </c:pt>
                  <c:pt idx="60">
                    <c:v>2026</c:v>
                  </c:pt>
                </c:lvl>
              </c:multiLvlStrCache>
            </c:multiLvlStrRef>
          </c:cat>
          <c:val>
            <c:numRef>
              <c:f>Sheet1!$D$2:$D$103</c:f>
              <c:numCache>
                <c:formatCode>0.0</c:formatCode>
                <c:ptCount val="66"/>
                <c:pt idx="0">
                  <c:v>4.5148886220006261</c:v>
                </c:pt>
                <c:pt idx="1">
                  <c:v>5.3267515218621924</c:v>
                </c:pt>
                <c:pt idx="2">
                  <c:v>5.7810093225161552</c:v>
                </c:pt>
                <c:pt idx="3">
                  <c:v>6.1569193415054002</c:v>
                </c:pt>
                <c:pt idx="4">
                  <c:v>5.9006948589342016</c:v>
                </c:pt>
                <c:pt idx="5">
                  <c:v>6.5046445234588646</c:v>
                </c:pt>
                <c:pt idx="6">
                  <c:v>8.2227275731544154</c:v>
                </c:pt>
                <c:pt idx="7">
                  <c:v>8.7823860822581139</c:v>
                </c:pt>
                <c:pt idx="8">
                  <c:v>8.8886539553763413</c:v>
                </c:pt>
                <c:pt idx="9">
                  <c:v>9.1040943851299545</c:v>
                </c:pt>
                <c:pt idx="10">
                  <c:v>9.5566762184085832</c:v>
                </c:pt>
                <c:pt idx="11">
                  <c:v>7.6754534627573037</c:v>
                </c:pt>
                <c:pt idx="12">
                  <c:v>7.0769205766379315</c:v>
                </c:pt>
                <c:pt idx="13">
                  <c:v>6.5432090002156116</c:v>
                </c:pt>
                <c:pt idx="14">
                  <c:v>7.3617969746003382</c:v>
                </c:pt>
                <c:pt idx="15">
                  <c:v>8.4252580519207356</c:v>
                </c:pt>
                <c:pt idx="16">
                  <c:v>8.9862917816955417</c:v>
                </c:pt>
                <c:pt idx="17">
                  <c:v>10.274467693331786</c:v>
                </c:pt>
                <c:pt idx="18">
                  <c:v>9.3216627279495867</c:v>
                </c:pt>
                <c:pt idx="19">
                  <c:v>9.1287829914562479</c:v>
                </c:pt>
                <c:pt idx="20">
                  <c:v>9.9151144159470022</c:v>
                </c:pt>
                <c:pt idx="21">
                  <c:v>9.5</c:v>
                </c:pt>
                <c:pt idx="22">
                  <c:v>8.8446621147540014</c:v>
                </c:pt>
                <c:pt idx="23">
                  <c:v>8.3026886372339987</c:v>
                </c:pt>
                <c:pt idx="24">
                  <c:v>8.0513101873760036</c:v>
                </c:pt>
                <c:pt idx="25">
                  <c:v>8.0504413480060038</c:v>
                </c:pt>
                <c:pt idx="26">
                  <c:v>5.4496798492630063</c:v>
                </c:pt>
                <c:pt idx="27">
                  <c:v>3.2368670906421926</c:v>
                </c:pt>
                <c:pt idx="28">
                  <c:v>1.3</c:v>
                </c:pt>
                <c:pt idx="29">
                  <c:v>-0.5</c:v>
                </c:pt>
                <c:pt idx="30">
                  <c:v>-0.10059999999999999</c:v>
                </c:pt>
                <c:pt idx="31">
                  <c:v>-0.16830000000000001</c:v>
                </c:pt>
                <c:pt idx="32">
                  <c:v>0.1</c:v>
                </c:pt>
                <c:pt idx="33">
                  <c:v>0.1</c:v>
                </c:pt>
                <c:pt idx="34">
                  <c:v>-0.5</c:v>
                </c:pt>
                <c:pt idx="35">
                  <c:v>-0.6</c:v>
                </c:pt>
                <c:pt idx="36">
                  <c:v>-0.9</c:v>
                </c:pt>
                <c:pt idx="37">
                  <c:v>-1.7</c:v>
                </c:pt>
                <c:pt idx="38">
                  <c:v>-1.2</c:v>
                </c:pt>
                <c:pt idx="39">
                  <c:v>-0.7</c:v>
                </c:pt>
                <c:pt idx="40">
                  <c:v>0.3</c:v>
                </c:pt>
                <c:pt idx="41">
                  <c:v>0.8</c:v>
                </c:pt>
                <c:pt idx="42">
                  <c:v>1.4</c:v>
                </c:pt>
                <c:pt idx="43">
                  <c:v>1.3</c:v>
                </c:pt>
                <c:pt idx="44">
                  <c:v>0.6</c:v>
                </c:pt>
                <c:pt idx="45">
                  <c:v>0.6</c:v>
                </c:pt>
                <c:pt idx="46">
                  <c:v>1.4</c:v>
                </c:pt>
                <c:pt idx="47">
                  <c:v>1.5</c:v>
                </c:pt>
                <c:pt idx="48">
                  <c:v>1.7</c:v>
                </c:pt>
                <c:pt idx="49">
                  <c:v>2.5</c:v>
                </c:pt>
                <c:pt idx="50">
                  <c:v>3.3</c:v>
                </c:pt>
                <c:pt idx="51">
                  <c:v>3.1818</c:v>
                </c:pt>
                <c:pt idx="52">
                  <c:v>4.3</c:v>
                </c:pt>
                <c:pt idx="53">
                  <c:v>3.9</c:v>
                </c:pt>
                <c:pt idx="54">
                  <c:v>3.4</c:v>
                </c:pt>
                <c:pt idx="55">
                  <c:v>3.6</c:v>
                </c:pt>
                <c:pt idx="56">
                  <c:v>3.7</c:v>
                </c:pt>
                <c:pt idx="57">
                  <c:v>3.7</c:v>
                </c:pt>
                <c:pt idx="58">
                  <c:v>3.1</c:v>
                </c:pt>
                <c:pt idx="59">
                  <c:v>3.2797999999999998</c:v>
                </c:pt>
                <c:pt idx="60">
                  <c:v>3.8</c:v>
                </c:pt>
                <c:pt idx="61">
                  <c:v>4.3</c:v>
                </c:pt>
                <c:pt idx="62">
                  <c:v>4.5</c:v>
                </c:pt>
                <c:pt idx="63">
                  <c:v>5.3</c:v>
                </c:pt>
                <c:pt idx="64">
                  <c:v>4.2</c:v>
                </c:pt>
                <c:pt idx="65">
                  <c:v>5.0999999999999996</c:v>
                </c:pt>
              </c:numCache>
            </c:numRef>
          </c:val>
          <c:smooth val="0"/>
          <c:extLst>
            <c:ext xmlns:c16="http://schemas.microsoft.com/office/drawing/2014/chart" uri="{C3380CC4-5D6E-409C-BE32-E72D297353CC}">
              <c16:uniqueId val="{00000000-C1C8-483D-8444-B22E9E7EC364}"/>
            </c:ext>
          </c:extLst>
        </c:ser>
        <c:ser>
          <c:idx val="1"/>
          <c:order val="1"/>
          <c:tx>
            <c:strRef>
              <c:f>Sheet1!$E$1</c:f>
              <c:strCache>
                <c:ptCount val="1"/>
                <c:pt idx="0">
                  <c:v>Վերաֆինանսավորման տոկոսադրույք, %</c:v>
                </c:pt>
              </c:strCache>
            </c:strRef>
          </c:tx>
          <c:spPr>
            <a:ln w="28564" cap="rnd">
              <a:solidFill>
                <a:srgbClr val="4472C4">
                  <a:lumMod val="50000"/>
                </a:srgbClr>
              </a:solidFill>
              <a:round/>
            </a:ln>
            <a:effectLst/>
          </c:spPr>
          <c:marker>
            <c:symbol val="none"/>
          </c:marker>
          <c:cat>
            <c:multiLvlStrRef>
              <c:f>Sheet1!$A$14:$B$103</c:f>
              <c:multiLvlStrCache>
                <c:ptCount val="66"/>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pt idx="65">
                    <c:v>6</c:v>
                  </c:pt>
                </c:lvl>
                <c:lvl>
                  <c:pt idx="0">
                    <c:v>2021</c:v>
                  </c:pt>
                  <c:pt idx="12">
                    <c:v>2022</c:v>
                  </c:pt>
                  <c:pt idx="24">
                    <c:v>2023</c:v>
                  </c:pt>
                  <c:pt idx="36">
                    <c:v>2024</c:v>
                  </c:pt>
                  <c:pt idx="48">
                    <c:v>2025</c:v>
                  </c:pt>
                  <c:pt idx="60">
                    <c:v>2026</c:v>
                  </c:pt>
                </c:lvl>
              </c:multiLvlStrCache>
            </c:multiLvlStrRef>
          </c:cat>
          <c:val>
            <c:numRef>
              <c:f>Sheet1!$E$2:$E$103</c:f>
              <c:numCache>
                <c:formatCode>0.00</c:formatCode>
                <c:ptCount val="66"/>
                <c:pt idx="0">
                  <c:v>5.25</c:v>
                </c:pt>
                <c:pt idx="1">
                  <c:v>5.5</c:v>
                </c:pt>
                <c:pt idx="2">
                  <c:v>5.5</c:v>
                </c:pt>
                <c:pt idx="3">
                  <c:v>5.5</c:v>
                </c:pt>
                <c:pt idx="4">
                  <c:v>6</c:v>
                </c:pt>
                <c:pt idx="5">
                  <c:v>6.5</c:v>
                </c:pt>
                <c:pt idx="6">
                  <c:v>6.5</c:v>
                </c:pt>
                <c:pt idx="7">
                  <c:v>7</c:v>
                </c:pt>
                <c:pt idx="8">
                  <c:v>7.25</c:v>
                </c:pt>
                <c:pt idx="9">
                  <c:v>7.25</c:v>
                </c:pt>
                <c:pt idx="10">
                  <c:v>7.25</c:v>
                </c:pt>
                <c:pt idx="11">
                  <c:v>7.75</c:v>
                </c:pt>
                <c:pt idx="12">
                  <c:v>7.75</c:v>
                </c:pt>
                <c:pt idx="13">
                  <c:v>8</c:v>
                </c:pt>
                <c:pt idx="14">
                  <c:v>9.25</c:v>
                </c:pt>
                <c:pt idx="15">
                  <c:v>9.25</c:v>
                </c:pt>
                <c:pt idx="16">
                  <c:v>9.25</c:v>
                </c:pt>
                <c:pt idx="17">
                  <c:v>9.25</c:v>
                </c:pt>
                <c:pt idx="18">
                  <c:v>9.25</c:v>
                </c:pt>
                <c:pt idx="19">
                  <c:v>9.5</c:v>
                </c:pt>
                <c:pt idx="20">
                  <c:v>10</c:v>
                </c:pt>
                <c:pt idx="21">
                  <c:v>10</c:v>
                </c:pt>
                <c:pt idx="22">
                  <c:v>10.5</c:v>
                </c:pt>
                <c:pt idx="23">
                  <c:v>10.75</c:v>
                </c:pt>
                <c:pt idx="24">
                  <c:v>10.75</c:v>
                </c:pt>
                <c:pt idx="25">
                  <c:v>10.75</c:v>
                </c:pt>
                <c:pt idx="26">
                  <c:v>10.75</c:v>
                </c:pt>
                <c:pt idx="27">
                  <c:v>10.75</c:v>
                </c:pt>
                <c:pt idx="28">
                  <c:v>10.75</c:v>
                </c:pt>
                <c:pt idx="29">
                  <c:v>10.5</c:v>
                </c:pt>
                <c:pt idx="30">
                  <c:v>10.5</c:v>
                </c:pt>
                <c:pt idx="31">
                  <c:v>10.25</c:v>
                </c:pt>
                <c:pt idx="32">
                  <c:v>9.75</c:v>
                </c:pt>
                <c:pt idx="33">
                  <c:v>9.75</c:v>
                </c:pt>
                <c:pt idx="34">
                  <c:v>9.5</c:v>
                </c:pt>
                <c:pt idx="35">
                  <c:v>9.25</c:v>
                </c:pt>
                <c:pt idx="36">
                  <c:v>8.75</c:v>
                </c:pt>
                <c:pt idx="37">
                  <c:v>8.75</c:v>
                </c:pt>
                <c:pt idx="38">
                  <c:v>8.5</c:v>
                </c:pt>
                <c:pt idx="39">
                  <c:v>8.25</c:v>
                </c:pt>
                <c:pt idx="40">
                  <c:v>8.25</c:v>
                </c:pt>
                <c:pt idx="41">
                  <c:v>8</c:v>
                </c:pt>
                <c:pt idx="42">
                  <c:v>7.75</c:v>
                </c:pt>
                <c:pt idx="43">
                  <c:v>7.75</c:v>
                </c:pt>
                <c:pt idx="44">
                  <c:v>7.5</c:v>
                </c:pt>
                <c:pt idx="45">
                  <c:v>7.25</c:v>
                </c:pt>
                <c:pt idx="46">
                  <c:v>7.25</c:v>
                </c:pt>
                <c:pt idx="47">
                  <c:v>7</c:v>
                </c:pt>
                <c:pt idx="48">
                  <c:v>7</c:v>
                </c:pt>
                <c:pt idx="49">
                  <c:v>6.75</c:v>
                </c:pt>
                <c:pt idx="50">
                  <c:v>6.75</c:v>
                </c:pt>
                <c:pt idx="51">
                  <c:v>6.75</c:v>
                </c:pt>
                <c:pt idx="52">
                  <c:v>6.75</c:v>
                </c:pt>
                <c:pt idx="53">
                  <c:v>6.75</c:v>
                </c:pt>
                <c:pt idx="54">
                  <c:v>6.75</c:v>
                </c:pt>
                <c:pt idx="55">
                  <c:v>6.75</c:v>
                </c:pt>
                <c:pt idx="56">
                  <c:v>6.75</c:v>
                </c:pt>
                <c:pt idx="57">
                  <c:v>6.75</c:v>
                </c:pt>
                <c:pt idx="58">
                  <c:v>6.75</c:v>
                </c:pt>
                <c:pt idx="59">
                  <c:v>6.5</c:v>
                </c:pt>
                <c:pt idx="60">
                  <c:v>6.5</c:v>
                </c:pt>
                <c:pt idx="61">
                  <c:v>6.5</c:v>
                </c:pt>
                <c:pt idx="62">
                  <c:v>6.5</c:v>
                </c:pt>
                <c:pt idx="63">
                  <c:v>6.5</c:v>
                </c:pt>
                <c:pt idx="64">
                  <c:v>6.5</c:v>
                </c:pt>
                <c:pt idx="65">
                  <c:v>6.5</c:v>
                </c:pt>
              </c:numCache>
            </c:numRef>
          </c:val>
          <c:smooth val="0"/>
          <c:extLst>
            <c:ext xmlns:c16="http://schemas.microsoft.com/office/drawing/2014/chart" uri="{C3380CC4-5D6E-409C-BE32-E72D297353CC}">
              <c16:uniqueId val="{00000001-C1C8-483D-8444-B22E9E7EC364}"/>
            </c:ext>
          </c:extLst>
        </c:ser>
        <c:ser>
          <c:idx val="2"/>
          <c:order val="2"/>
          <c:tx>
            <c:strRef>
              <c:f>Sheet1!$C$1</c:f>
              <c:strCache>
                <c:ptCount val="1"/>
                <c:pt idx="0">
                  <c:v>Բնականոն գնաճ, %</c:v>
                </c:pt>
              </c:strCache>
            </c:strRef>
          </c:tx>
          <c:spPr>
            <a:ln>
              <a:solidFill>
                <a:sysClr val="window" lastClr="FFFFFF">
                  <a:lumMod val="50000"/>
                </a:sysClr>
              </a:solidFill>
            </a:ln>
          </c:spPr>
          <c:marker>
            <c:symbol val="none"/>
          </c:marker>
          <c:cat>
            <c:multiLvlStrRef>
              <c:f>Sheet1!$A$14:$B$103</c:f>
              <c:multiLvlStrCache>
                <c:ptCount val="66"/>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pt idx="65">
                    <c:v>6</c:v>
                  </c:pt>
                </c:lvl>
                <c:lvl>
                  <c:pt idx="0">
                    <c:v>2021</c:v>
                  </c:pt>
                  <c:pt idx="12">
                    <c:v>2022</c:v>
                  </c:pt>
                  <c:pt idx="24">
                    <c:v>2023</c:v>
                  </c:pt>
                  <c:pt idx="36">
                    <c:v>2024</c:v>
                  </c:pt>
                  <c:pt idx="48">
                    <c:v>2025</c:v>
                  </c:pt>
                  <c:pt idx="60">
                    <c:v>2026</c:v>
                  </c:pt>
                </c:lvl>
              </c:multiLvlStrCache>
            </c:multiLvlStrRef>
          </c:cat>
          <c:val>
            <c:numRef>
              <c:f>Sheet1!$C$14:$C$103</c:f>
              <c:numCache>
                <c:formatCode>0.0</c:formatCode>
                <c:ptCount val="66"/>
                <c:pt idx="0">
                  <c:v>4.6779235852640682</c:v>
                </c:pt>
                <c:pt idx="1">
                  <c:v>5.4846481634119186</c:v>
                </c:pt>
                <c:pt idx="2">
                  <c:v>6.6300845552899972</c:v>
                </c:pt>
                <c:pt idx="3">
                  <c:v>6.7626395686116751</c:v>
                </c:pt>
                <c:pt idx="4">
                  <c:v>7.4114337608134804</c:v>
                </c:pt>
                <c:pt idx="5">
                  <c:v>7.8323845176300608</c:v>
                </c:pt>
                <c:pt idx="6">
                  <c:v>8.1093537485616309</c:v>
                </c:pt>
                <c:pt idx="7">
                  <c:v>8.0379242186285609</c:v>
                </c:pt>
                <c:pt idx="8">
                  <c:v>7.9880734583744442</c:v>
                </c:pt>
                <c:pt idx="9">
                  <c:v>7.8765202676341914</c:v>
                </c:pt>
                <c:pt idx="10">
                  <c:v>8.3772656385054063</c:v>
                </c:pt>
                <c:pt idx="11">
                  <c:v>7.2509011281681808</c:v>
                </c:pt>
                <c:pt idx="12">
                  <c:v>6.60162670741569</c:v>
                </c:pt>
                <c:pt idx="13">
                  <c:v>6.3614506423955959</c:v>
                </c:pt>
                <c:pt idx="14">
                  <c:v>6.9671454857929405</c:v>
                </c:pt>
                <c:pt idx="15">
                  <c:v>7.9799047833968757</c:v>
                </c:pt>
                <c:pt idx="16">
                  <c:v>8.3564098161367042</c:v>
                </c:pt>
                <c:pt idx="17">
                  <c:v>9.4404331247470736</c:v>
                </c:pt>
                <c:pt idx="18">
                  <c:v>10.10041008820204</c:v>
                </c:pt>
                <c:pt idx="19">
                  <c:v>10.230227924035546</c:v>
                </c:pt>
                <c:pt idx="20">
                  <c:v>10.540276376631112</c:v>
                </c:pt>
                <c:pt idx="21">
                  <c:v>10.488322377082326</c:v>
                </c:pt>
                <c:pt idx="22">
                  <c:v>9.8756503499295007</c:v>
                </c:pt>
                <c:pt idx="23">
                  <c:v>9.4793414473783173</c:v>
                </c:pt>
                <c:pt idx="24">
                  <c:v>9.0991561824239966</c:v>
                </c:pt>
                <c:pt idx="25">
                  <c:v>8.3569861398929959</c:v>
                </c:pt>
                <c:pt idx="26">
                  <c:v>6.4066571555730008</c:v>
                </c:pt>
                <c:pt idx="27">
                  <c:v>4.3045803295163267</c:v>
                </c:pt>
                <c:pt idx="28">
                  <c:v>3.0865032447455718</c:v>
                </c:pt>
                <c:pt idx="29">
                  <c:v>1.4518285160379776</c:v>
                </c:pt>
                <c:pt idx="30">
                  <c:v>0.59949055114458361</c:v>
                </c:pt>
                <c:pt idx="31">
                  <c:v>0.35313145780541788</c:v>
                </c:pt>
                <c:pt idx="32">
                  <c:v>-8.0847536483943827E-2</c:v>
                </c:pt>
                <c:pt idx="33">
                  <c:v>-4.6504096578033227E-2</c:v>
                </c:pt>
                <c:pt idx="34">
                  <c:v>-0.24390438070011555</c:v>
                </c:pt>
                <c:pt idx="35">
                  <c:v>-0.39353895237825043</c:v>
                </c:pt>
                <c:pt idx="36">
                  <c:v>-0.44083532430917671</c:v>
                </c:pt>
                <c:pt idx="37">
                  <c:v>-0.65415810312974543</c:v>
                </c:pt>
                <c:pt idx="38">
                  <c:v>-0.70986287761924416</c:v>
                </c:pt>
                <c:pt idx="39">
                  <c:v>-0.53692140460677251</c:v>
                </c:pt>
                <c:pt idx="40">
                  <c:v>-0.29513107679599671</c:v>
                </c:pt>
                <c:pt idx="41">
                  <c:v>3.9019835541694192E-2</c:v>
                </c:pt>
                <c:pt idx="42">
                  <c:v>0.25996830691931905</c:v>
                </c:pt>
                <c:pt idx="43">
                  <c:v>0.27869516588769727</c:v>
                </c:pt>
                <c:pt idx="44">
                  <c:v>0.70080604258279777</c:v>
                </c:pt>
                <c:pt idx="45">
                  <c:v>0.63894478316535697</c:v>
                </c:pt>
                <c:pt idx="46">
                  <c:v>0.7907904170000819</c:v>
                </c:pt>
                <c:pt idx="47">
                  <c:v>0.94130385266983296</c:v>
                </c:pt>
                <c:pt idx="48">
                  <c:v>1.2271638969850756</c:v>
                </c:pt>
                <c:pt idx="49">
                  <c:v>1.4745661267638042</c:v>
                </c:pt>
                <c:pt idx="50">
                  <c:v>2.0047945598907262</c:v>
                </c:pt>
                <c:pt idx="51">
                  <c:v>2.394979193090478</c:v>
                </c:pt>
                <c:pt idx="52">
                  <c:v>2.7632776482889483</c:v>
                </c:pt>
                <c:pt idx="53">
                  <c:v>3.1364195504502987</c:v>
                </c:pt>
                <c:pt idx="54">
                  <c:v>3.4298937990613325</c:v>
                </c:pt>
                <c:pt idx="55">
                  <c:v>3.7028292026547831</c:v>
                </c:pt>
                <c:pt idx="56">
                  <c:v>3.4658647434183933</c:v>
                </c:pt>
                <c:pt idx="57">
                  <c:v>3.6332697262011919</c:v>
                </c:pt>
                <c:pt idx="58">
                  <c:v>3.7987997435390071</c:v>
                </c:pt>
                <c:pt idx="59">
                  <c:v>4.28055817333221</c:v>
                </c:pt>
                <c:pt idx="60">
                  <c:v>4.4511377991099721</c:v>
                </c:pt>
                <c:pt idx="61">
                  <c:v>4.696483915625322</c:v>
                </c:pt>
                <c:pt idx="62">
                  <c:v>4.6550375083511</c:v>
                </c:pt>
                <c:pt idx="63">
                  <c:v>4.908231044834821</c:v>
                </c:pt>
                <c:pt idx="64">
                  <c:v>5.083439811559316</c:v>
                </c:pt>
                <c:pt idx="65">
                  <c:v>4.8881416978289423</c:v>
                </c:pt>
              </c:numCache>
            </c:numRef>
          </c:val>
          <c:smooth val="0"/>
          <c:extLst>
            <c:ext xmlns:c16="http://schemas.microsoft.com/office/drawing/2014/chart" uri="{C3380CC4-5D6E-409C-BE32-E72D297353CC}">
              <c16:uniqueId val="{00000002-C1C8-483D-8444-B22E9E7EC364}"/>
            </c:ext>
          </c:extLst>
        </c:ser>
        <c:dLbls>
          <c:showLegendKey val="0"/>
          <c:showVal val="0"/>
          <c:showCatName val="0"/>
          <c:showSerName val="0"/>
          <c:showPercent val="0"/>
          <c:showBubbleSize val="0"/>
        </c:dLbls>
        <c:smooth val="0"/>
        <c:axId val="806867600"/>
        <c:axId val="1"/>
      </c:lineChart>
      <c:catAx>
        <c:axId val="806867600"/>
        <c:scaling>
          <c:orientation val="minMax"/>
        </c:scaling>
        <c:delete val="0"/>
        <c:axPos val="b"/>
        <c:numFmt formatCode="General" sourceLinked="1"/>
        <c:majorTickMark val="none"/>
        <c:minorTickMark val="none"/>
        <c:tickLblPos val="low"/>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numFmt formatCode="0" sourceLinked="0"/>
        <c:majorTickMark val="none"/>
        <c:minorTickMark val="none"/>
        <c:tickLblPos val="nextTo"/>
        <c:spPr>
          <a:ln w="9521">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867600"/>
        <c:crosses val="autoZero"/>
        <c:crossBetween val="between"/>
      </c:valAx>
      <c:spPr>
        <a:noFill/>
        <a:ln w="25390">
          <a:noFill/>
        </a:ln>
      </c:spPr>
    </c:plotArea>
    <c:legend>
      <c:legendPos val="b"/>
      <c:layout>
        <c:manualLayout>
          <c:xMode val="edge"/>
          <c:yMode val="edge"/>
          <c:x val="2.7404712316947723E-2"/>
          <c:y val="0.8321400265338823"/>
          <c:w val="0.97216976237418284"/>
          <c:h val="0.13761823945967369"/>
        </c:manualLayout>
      </c:layout>
      <c:overlay val="0"/>
      <c:spPr>
        <a:noFill/>
        <a:ln w="25390">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cap="none" spc="0" normalizeH="0" baseline="0">
                <a:solidFill>
                  <a:schemeClr val="tx1">
                    <a:lumMod val="65000"/>
                    <a:lumOff val="35000"/>
                  </a:schemeClr>
                </a:solidFill>
                <a:latin typeface="GHEA Grapalat" panose="02000506050000020003" pitchFamily="50" charset="0"/>
                <a:ea typeface="+mj-ea"/>
                <a:cs typeface="+mj-cs"/>
              </a:defRPr>
            </a:pPr>
            <a:r>
              <a:rPr lang="en-US" sz="1000" b="0" baseline="0">
                <a:solidFill>
                  <a:schemeClr val="tx1">
                    <a:lumMod val="65000"/>
                    <a:lumOff val="35000"/>
                  </a:schemeClr>
                </a:solidFill>
              </a:rPr>
              <a:t>12</a:t>
            </a:r>
            <a:r>
              <a:rPr lang="hy-AM" sz="1000" b="0" baseline="0">
                <a:solidFill>
                  <a:schemeClr val="tx1">
                    <a:lumMod val="65000"/>
                    <a:lumOff val="35000"/>
                  </a:schemeClr>
                </a:solidFill>
              </a:rPr>
              <a:t>-ամսյա գնաճը</a:t>
            </a:r>
            <a:r>
              <a:rPr lang="en-US" sz="1000" b="0" baseline="0">
                <a:solidFill>
                  <a:schemeClr val="tx1">
                    <a:lumMod val="65000"/>
                    <a:lumOff val="35000"/>
                  </a:schemeClr>
                </a:solidFill>
              </a:rPr>
              <a:t>, %</a:t>
            </a:r>
          </a:p>
        </c:rich>
      </c:tx>
      <c:layout>
        <c:manualLayout>
          <c:xMode val="edge"/>
          <c:yMode val="edge"/>
          <c:x val="0.31469953084252594"/>
          <c:y val="5.5554673609347219E-3"/>
        </c:manualLayout>
      </c:layout>
      <c:overlay val="0"/>
      <c:spPr>
        <a:noFill/>
        <a:ln>
          <a:noFill/>
        </a:ln>
        <a:effectLst/>
      </c:spPr>
    </c:title>
    <c:autoTitleDeleted val="0"/>
    <c:plotArea>
      <c:layout>
        <c:manualLayout>
          <c:layoutTarget val="inner"/>
          <c:xMode val="edge"/>
          <c:yMode val="edge"/>
          <c:x val="0.11270836908098351"/>
          <c:y val="0.1312423813132145"/>
          <c:w val="0.84290099330803991"/>
          <c:h val="0.66208741189830411"/>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Sheet1!$A$40:$B$77</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Sheet1!$D$28:$D$77</c:f>
              <c:numCache>
                <c:formatCode>0.0</c:formatCode>
                <c:ptCount val="22"/>
                <c:pt idx="0">
                  <c:v>2.7530960000000007</c:v>
                </c:pt>
                <c:pt idx="1">
                  <c:v>3.2739520000000004</c:v>
                </c:pt>
                <c:pt idx="2">
                  <c:v>5.7294159999999996</c:v>
                </c:pt>
                <c:pt idx="3">
                  <c:v>4.7993160000000001</c:v>
                </c:pt>
                <c:pt idx="4">
                  <c:v>4.7621120000000001</c:v>
                </c:pt>
                <c:pt idx="5">
                  <c:v>6.3618840000000008</c:v>
                </c:pt>
                <c:pt idx="6">
                  <c:v>5.0969480000000003</c:v>
                </c:pt>
                <c:pt idx="7">
                  <c:v>3.7204000000000002</c:v>
                </c:pt>
                <c:pt idx="8">
                  <c:v>1.9252499999999997</c:v>
                </c:pt>
                <c:pt idx="9">
                  <c:v>-2.0762499999999999</c:v>
                </c:pt>
                <c:pt idx="10">
                  <c:v>-1.17025</c:v>
                </c:pt>
                <c:pt idx="11">
                  <c:v>-1.8119999999999998</c:v>
                </c:pt>
                <c:pt idx="12">
                  <c:v>-2.31616</c:v>
                </c:pt>
                <c:pt idx="13">
                  <c:v>-0.28952</c:v>
                </c:pt>
                <c:pt idx="14">
                  <c:v>-0.41359999999999997</c:v>
                </c:pt>
                <c:pt idx="15">
                  <c:v>0.82719999999999994</c:v>
                </c:pt>
                <c:pt idx="16">
                  <c:v>2.2089834000000002</c:v>
                </c:pt>
                <c:pt idx="17">
                  <c:v>2.5362401999999999</c:v>
                </c:pt>
                <c:pt idx="18">
                  <c:v>2.3726118</c:v>
                </c:pt>
                <c:pt idx="19">
                  <c:v>1.7590053000000001</c:v>
                </c:pt>
                <c:pt idx="20">
                  <c:v>3.1460207999999996</c:v>
                </c:pt>
                <c:pt idx="21">
                  <c:v>3.4686895999999994</c:v>
                </c:pt>
              </c:numCache>
            </c:numRef>
          </c:val>
          <c:extLst>
            <c:ext xmlns:c16="http://schemas.microsoft.com/office/drawing/2014/chart" uri="{C3380CC4-5D6E-409C-BE32-E72D297353CC}">
              <c16:uniqueId val="{00000000-C770-4826-9226-7AB36936D552}"/>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Sheet1!$A$40:$B$77</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Sheet1!$E$28:$E$77</c:f>
              <c:numCache>
                <c:formatCode>0.0</c:formatCode>
                <c:ptCount val="22"/>
                <c:pt idx="0">
                  <c:v>0.41001639999999995</c:v>
                </c:pt>
                <c:pt idx="1">
                  <c:v>0.39218960000000003</c:v>
                </c:pt>
                <c:pt idx="2">
                  <c:v>0.41447310000000004</c:v>
                </c:pt>
                <c:pt idx="3">
                  <c:v>0.41001639999999995</c:v>
                </c:pt>
                <c:pt idx="4">
                  <c:v>0.32533909999999999</c:v>
                </c:pt>
                <c:pt idx="5">
                  <c:v>0.36099269999999994</c:v>
                </c:pt>
                <c:pt idx="6">
                  <c:v>0.39664629999999995</c:v>
                </c:pt>
                <c:pt idx="7">
                  <c:v>0.39664629999999995</c:v>
                </c:pt>
                <c:pt idx="8">
                  <c:v>0.31872</c:v>
                </c:pt>
                <c:pt idx="9">
                  <c:v>0.33024000000000003</c:v>
                </c:pt>
                <c:pt idx="10">
                  <c:v>0.31872</c:v>
                </c:pt>
                <c:pt idx="11">
                  <c:v>0.32256000000000001</c:v>
                </c:pt>
                <c:pt idx="12">
                  <c:v>0.33596000000000004</c:v>
                </c:pt>
                <c:pt idx="13">
                  <c:v>0.21791999999999997</c:v>
                </c:pt>
                <c:pt idx="14">
                  <c:v>0.18613999999999997</c:v>
                </c:pt>
                <c:pt idx="15">
                  <c:v>0.17251999999999998</c:v>
                </c:pt>
                <c:pt idx="16">
                  <c:v>0.219606</c:v>
                </c:pt>
                <c:pt idx="17">
                  <c:v>0.26697200000000004</c:v>
                </c:pt>
                <c:pt idx="18">
                  <c:v>0.29280800000000001</c:v>
                </c:pt>
                <c:pt idx="19">
                  <c:v>0.31433800000000001</c:v>
                </c:pt>
                <c:pt idx="20">
                  <c:v>0.38064459999999994</c:v>
                </c:pt>
                <c:pt idx="21">
                  <c:v>0.33195749999999996</c:v>
                </c:pt>
              </c:numCache>
            </c:numRef>
          </c:val>
          <c:extLst>
            <c:ext xmlns:c16="http://schemas.microsoft.com/office/drawing/2014/chart" uri="{C3380CC4-5D6E-409C-BE32-E72D297353CC}">
              <c16:uniqueId val="{00000001-C770-4826-9226-7AB36936D552}"/>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Sheet1!$A$40:$B$77</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Sheet1!$F$28:$F$77</c:f>
              <c:numCache>
                <c:formatCode>0.0</c:formatCode>
                <c:ptCount val="22"/>
                <c:pt idx="0">
                  <c:v>1.8656400000000002</c:v>
                </c:pt>
                <c:pt idx="1">
                  <c:v>2.10995</c:v>
                </c:pt>
                <c:pt idx="2">
                  <c:v>2.1987900000000002</c:v>
                </c:pt>
                <c:pt idx="3">
                  <c:v>1.7768000000000002</c:v>
                </c:pt>
                <c:pt idx="4">
                  <c:v>1.0660800000000001</c:v>
                </c:pt>
                <c:pt idx="5">
                  <c:v>1.6657500000000001</c:v>
                </c:pt>
                <c:pt idx="6">
                  <c:v>1.79901</c:v>
                </c:pt>
                <c:pt idx="7">
                  <c:v>1.57691</c:v>
                </c:pt>
                <c:pt idx="8">
                  <c:v>1.06996</c:v>
                </c:pt>
                <c:pt idx="9">
                  <c:v>6.9780000000000009E-2</c:v>
                </c:pt>
                <c:pt idx="10">
                  <c:v>0</c:v>
                </c:pt>
                <c:pt idx="11">
                  <c:v>2.3259999999999999E-2</c:v>
                </c:pt>
                <c:pt idx="12">
                  <c:v>-2.1680000000000001E-2</c:v>
                </c:pt>
                <c:pt idx="13">
                  <c:v>-4.3360000000000003E-2</c:v>
                </c:pt>
                <c:pt idx="14">
                  <c:v>-0.36856</c:v>
                </c:pt>
                <c:pt idx="15">
                  <c:v>-0.39024000000000003</c:v>
                </c:pt>
                <c:pt idx="16">
                  <c:v>-0.10575</c:v>
                </c:pt>
                <c:pt idx="17">
                  <c:v>-4.2299999999999997E-2</c:v>
                </c:pt>
                <c:pt idx="18">
                  <c:v>0.19034999999999999</c:v>
                </c:pt>
                <c:pt idx="19">
                  <c:v>0.19034999999999999</c:v>
                </c:pt>
                <c:pt idx="20">
                  <c:v>0.17184000000000002</c:v>
                </c:pt>
                <c:pt idx="21">
                  <c:v>0.49403999999999998</c:v>
                </c:pt>
              </c:numCache>
            </c:numRef>
          </c:val>
          <c:extLst>
            <c:ext xmlns:c16="http://schemas.microsoft.com/office/drawing/2014/chart" uri="{C3380CC4-5D6E-409C-BE32-E72D297353CC}">
              <c16:uniqueId val="{00000002-C770-4826-9226-7AB36936D552}"/>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Sheet1!$A$40:$B$77</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Sheet1!$G$28:$G$77</c:f>
              <c:numCache>
                <c:formatCode>0.0</c:formatCode>
                <c:ptCount val="22"/>
                <c:pt idx="0">
                  <c:v>0.79486000000000023</c:v>
                </c:pt>
                <c:pt idx="1">
                  <c:v>0.75873000000000002</c:v>
                </c:pt>
                <c:pt idx="2">
                  <c:v>0.57808000000000004</c:v>
                </c:pt>
                <c:pt idx="3">
                  <c:v>0.68647000000000002</c:v>
                </c:pt>
                <c:pt idx="4">
                  <c:v>1.1922900000000001</c:v>
                </c:pt>
                <c:pt idx="5">
                  <c:v>1.91489</c:v>
                </c:pt>
                <c:pt idx="6">
                  <c:v>2.6013600000000001</c:v>
                </c:pt>
                <c:pt idx="7">
                  <c:v>2.6013600000000001</c:v>
                </c:pt>
                <c:pt idx="8">
                  <c:v>2.109</c:v>
                </c:pt>
                <c:pt idx="9">
                  <c:v>1.3708499999999999</c:v>
                </c:pt>
                <c:pt idx="10">
                  <c:v>1.1248</c:v>
                </c:pt>
                <c:pt idx="11">
                  <c:v>1.0545</c:v>
                </c:pt>
                <c:pt idx="12">
                  <c:v>0.81050000000000011</c:v>
                </c:pt>
                <c:pt idx="13">
                  <c:v>0.87534000000000001</c:v>
                </c:pt>
                <c:pt idx="14">
                  <c:v>1.1671199999999999</c:v>
                </c:pt>
                <c:pt idx="15">
                  <c:v>0.81050000000000011</c:v>
                </c:pt>
                <c:pt idx="16">
                  <c:v>0.97555999999999998</c:v>
                </c:pt>
                <c:pt idx="17">
                  <c:v>1.1774</c:v>
                </c:pt>
                <c:pt idx="18">
                  <c:v>0.94191999999999998</c:v>
                </c:pt>
                <c:pt idx="19">
                  <c:v>1.04284</c:v>
                </c:pt>
                <c:pt idx="20">
                  <c:v>0.87775999999999998</c:v>
                </c:pt>
                <c:pt idx="21">
                  <c:v>0.81023999999999985</c:v>
                </c:pt>
              </c:numCache>
            </c:numRef>
          </c:val>
          <c:extLst>
            <c:ext xmlns:c16="http://schemas.microsoft.com/office/drawing/2014/chart" uri="{C3380CC4-5D6E-409C-BE32-E72D297353CC}">
              <c16:uniqueId val="{00000003-C770-4826-9226-7AB36936D552}"/>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C770-4826-9226-7AB36936D552}"/>
              </c:ext>
            </c:extLst>
          </c:dPt>
          <c:dPt>
            <c:idx val="7"/>
            <c:bubble3D val="0"/>
            <c:extLst>
              <c:ext xmlns:c16="http://schemas.microsoft.com/office/drawing/2014/chart" uri="{C3380CC4-5D6E-409C-BE32-E72D297353CC}">
                <c16:uniqueId val="{00000005-C770-4826-9226-7AB36936D552}"/>
              </c:ext>
            </c:extLst>
          </c:dPt>
          <c:dLbls>
            <c:dLbl>
              <c:idx val="0"/>
              <c:layout>
                <c:manualLayout>
                  <c:x val="-8.1966799057896431E-2"/>
                  <c:y val="-5.72957677165354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770-4826-9226-7AB36936D552}"/>
                </c:ext>
              </c:extLst>
            </c:dLbl>
            <c:dLbl>
              <c:idx val="1"/>
              <c:layout>
                <c:manualLayout>
                  <c:x val="-7.3877463392456863E-2"/>
                  <c:y val="-6.233609029718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770-4826-9226-7AB36936D552}"/>
                </c:ext>
              </c:extLst>
            </c:dLbl>
            <c:dLbl>
              <c:idx val="2"/>
              <c:layout>
                <c:manualLayout>
                  <c:x val="-8.2447953829347914E-2"/>
                  <c:y val="-5.22553095642544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770-4826-9226-7AB36936D552}"/>
                </c:ext>
              </c:extLst>
            </c:dLbl>
            <c:dLbl>
              <c:idx val="3"/>
              <c:layout>
                <c:manualLayout>
                  <c:x val="-6.7923015236567769E-2"/>
                  <c:y val="-6.233609029718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770-4826-9226-7AB36936D552}"/>
                </c:ext>
              </c:extLst>
            </c:dLbl>
            <c:dLbl>
              <c:idx val="5"/>
              <c:layout>
                <c:manualLayout>
                  <c:x val="-9.2652602466391745E-2"/>
                  <c:y val="-1.35692096890749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770-4826-9226-7AB36936D552}"/>
                </c:ext>
              </c:extLst>
            </c:dLbl>
            <c:dLbl>
              <c:idx val="6"/>
              <c:layout>
                <c:manualLayout>
                  <c:x val="-5.8320125782192297E-2"/>
                  <c:y val="-4.72151225552451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770-4826-9226-7AB36936D552}"/>
                </c:ext>
              </c:extLst>
            </c:dLbl>
            <c:dLbl>
              <c:idx val="7"/>
              <c:layout>
                <c:manualLayout>
                  <c:x val="-4.1970966540168846E-2"/>
                  <c:y val="-4.7215122555245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770-4826-9226-7AB36936D552}"/>
                </c:ext>
              </c:extLst>
            </c:dLbl>
            <c:dLbl>
              <c:idx val="8"/>
              <c:layout>
                <c:manualLayout>
                  <c:x val="-4.4917881656132197E-2"/>
                  <c:y val="-5.2255445135890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770-4826-9226-7AB36936D552}"/>
                </c:ext>
              </c:extLst>
            </c:dLbl>
            <c:dLbl>
              <c:idx val="9"/>
              <c:layout>
                <c:manualLayout>
                  <c:x val="-0.11671034103896596"/>
                  <c:y val="3.30156823364897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770-4826-9226-7AB36936D552}"/>
                </c:ext>
              </c:extLst>
            </c:dLbl>
            <c:dLbl>
              <c:idx val="11"/>
              <c:layout>
                <c:manualLayout>
                  <c:x val="-6.7983317442176186E-2"/>
                  <c:y val="6.97617148273629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770-4826-9226-7AB36936D552}"/>
                </c:ext>
              </c:extLst>
            </c:dLbl>
            <c:dLbl>
              <c:idx val="12"/>
              <c:layout>
                <c:manualLayout>
                  <c:x val="-1.115685519261984E-2"/>
                  <c:y val="2.68534907510815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770-4826-9226-7AB36936D552}"/>
                </c:ext>
              </c:extLst>
            </c:dLbl>
            <c:dLbl>
              <c:idx val="13"/>
              <c:layout>
                <c:manualLayout>
                  <c:x val="-7.2285611451736287E-2"/>
                  <c:y val="-3.85269302600583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770-4826-9226-7AB36936D552}"/>
                </c:ext>
              </c:extLst>
            </c:dLbl>
            <c:dLbl>
              <c:idx val="14"/>
              <c:layout>
                <c:manualLayout>
                  <c:x val="-5.8204888582993032E-2"/>
                  <c:y val="-6.8708328041656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770-4826-9226-7AB36936D552}"/>
                </c:ext>
              </c:extLst>
            </c:dLbl>
            <c:dLbl>
              <c:idx val="16"/>
              <c:layout>
                <c:manualLayout>
                  <c:x val="-0.10184032228529588"/>
                  <c:y val="-4.32656049102325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770-4826-9226-7AB36936D552}"/>
                </c:ext>
              </c:extLst>
            </c:dLbl>
            <c:dLbl>
              <c:idx val="17"/>
              <c:layout>
                <c:manualLayout>
                  <c:x val="-8.1996792301523652E-2"/>
                  <c:y val="-3.98926355898003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770-4826-9226-7AB36936D552}"/>
                </c:ext>
              </c:extLst>
            </c:dLbl>
            <c:dLbl>
              <c:idx val="18"/>
              <c:layout>
                <c:manualLayout>
                  <c:x val="-6.7985843189007952E-2"/>
                  <c:y val="-4.46602160427205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770-4826-9226-7AB36936D552}"/>
                </c:ext>
              </c:extLst>
            </c:dLbl>
            <c:dLbl>
              <c:idx val="19"/>
              <c:layout>
                <c:manualLayout>
                  <c:x val="-5.4015937462508594E-2"/>
                  <c:y val="-6.3730537854401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770-4826-9226-7AB36936D552}"/>
                </c:ext>
              </c:extLst>
            </c:dLbl>
            <c:dLbl>
              <c:idx val="20"/>
              <c:layout>
                <c:manualLayout>
                  <c:x val="2.5109080691296908E-3"/>
                  <c:y val="-5.89629574014809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770-4826-9226-7AB36936D552}"/>
                </c:ext>
              </c:extLst>
            </c:dLbl>
            <c:dLbl>
              <c:idx val="21"/>
              <c:layout>
                <c:manualLayout>
                  <c:x val="-7.1306253117718751E-2"/>
                  <c:y val="-2.32778054113915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770-4826-9226-7AB36936D552}"/>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Sheet1!$A$28:$B$77</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Sheet1!$C$28:$C$77</c:f>
              <c:numCache>
                <c:formatCode>0.0</c:formatCode>
                <c:ptCount val="22"/>
                <c:pt idx="0">
                  <c:v>5.8236124000000009</c:v>
                </c:pt>
                <c:pt idx="1">
                  <c:v>6.5348216000000008</c:v>
                </c:pt>
                <c:pt idx="2">
                  <c:v>8.9207590999999997</c:v>
                </c:pt>
                <c:pt idx="3">
                  <c:v>7.6726024000000006</c:v>
                </c:pt>
                <c:pt idx="4">
                  <c:v>7.4</c:v>
                </c:pt>
                <c:pt idx="5">
                  <c:v>10.303516699999999</c:v>
                </c:pt>
                <c:pt idx="6">
                  <c:v>9.8939643000000004</c:v>
                </c:pt>
                <c:pt idx="7">
                  <c:v>8.2953162999999996</c:v>
                </c:pt>
                <c:pt idx="8">
                  <c:v>5.4</c:v>
                </c:pt>
                <c:pt idx="9">
                  <c:v>-0.5</c:v>
                </c:pt>
                <c:pt idx="10">
                  <c:v>0.1</c:v>
                </c:pt>
                <c:pt idx="11">
                  <c:v>-0.6</c:v>
                </c:pt>
                <c:pt idx="12">
                  <c:v>-1.2</c:v>
                </c:pt>
                <c:pt idx="13">
                  <c:v>0.8</c:v>
                </c:pt>
                <c:pt idx="14">
                  <c:v>0.6</c:v>
                </c:pt>
                <c:pt idx="15">
                  <c:v>1.5</c:v>
                </c:pt>
                <c:pt idx="16">
                  <c:v>3.3</c:v>
                </c:pt>
                <c:pt idx="17">
                  <c:v>3.9</c:v>
                </c:pt>
                <c:pt idx="18">
                  <c:v>3.7</c:v>
                </c:pt>
                <c:pt idx="19">
                  <c:v>3.2797999999999998</c:v>
                </c:pt>
                <c:pt idx="20">
                  <c:v>4.5</c:v>
                </c:pt>
                <c:pt idx="21">
                  <c:v>5.0999999999999996</c:v>
                </c:pt>
              </c:numCache>
            </c:numRef>
          </c:val>
          <c:smooth val="0"/>
          <c:extLst>
            <c:ext xmlns:c16="http://schemas.microsoft.com/office/drawing/2014/chart" uri="{C3380CC4-5D6E-409C-BE32-E72D297353CC}">
              <c16:uniqueId val="{00000017-C770-4826-9226-7AB36936D552}"/>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257600"/>
        <c:crosses val="autoZero"/>
        <c:auto val="1"/>
        <c:lblAlgn val="ctr"/>
        <c:lblOffset val="100"/>
        <c:noMultiLvlLbl val="0"/>
      </c:catAx>
      <c:valAx>
        <c:axId val="339257600"/>
        <c:scaling>
          <c:orientation val="minMax"/>
        </c:scaling>
        <c:delete val="0"/>
        <c:axPos val="l"/>
        <c:majorGridlines>
          <c:spPr>
            <a:ln w="6350">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256064"/>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cap="none" spc="0" normalizeH="0" baseline="0">
                <a:solidFill>
                  <a:schemeClr val="tx1">
                    <a:lumMod val="65000"/>
                    <a:lumOff val="35000"/>
                  </a:schemeClr>
                </a:solidFill>
                <a:latin typeface="GHEA Grapalat" panose="02000506050000020003" pitchFamily="50" charset="0"/>
                <a:ea typeface="+mj-ea"/>
                <a:cs typeface="+mj-cs"/>
              </a:defRPr>
            </a:pPr>
            <a:r>
              <a:rPr lang="en-US" sz="1000" b="0" baseline="0">
                <a:solidFill>
                  <a:schemeClr val="tx1">
                    <a:lumMod val="65000"/>
                    <a:lumOff val="35000"/>
                  </a:schemeClr>
                </a:solidFill>
              </a:rPr>
              <a:t>Մ</a:t>
            </a:r>
            <a:r>
              <a:rPr lang="hy-AM" sz="1000" b="0" baseline="0">
                <a:solidFill>
                  <a:schemeClr val="tx1">
                    <a:lumMod val="65000"/>
                    <a:lumOff val="35000"/>
                  </a:schemeClr>
                </a:solidFill>
              </a:rPr>
              <a:t>իջին գնաճը</a:t>
            </a:r>
            <a:r>
              <a:rPr lang="en-US" sz="1000" b="0" baseline="0">
                <a:solidFill>
                  <a:schemeClr val="tx1">
                    <a:lumMod val="65000"/>
                    <a:lumOff val="35000"/>
                  </a:schemeClr>
                </a:solidFill>
              </a:rPr>
              <a:t>, %</a:t>
            </a:r>
          </a:p>
        </c:rich>
      </c:tx>
      <c:layout>
        <c:manualLayout>
          <c:xMode val="edge"/>
          <c:yMode val="edge"/>
          <c:x val="0.33438614880437462"/>
          <c:y val="1.2687019605266862E-2"/>
        </c:manualLayout>
      </c:layout>
      <c:overlay val="0"/>
      <c:spPr>
        <a:noFill/>
        <a:ln>
          <a:noFill/>
        </a:ln>
        <a:effectLst/>
      </c:spPr>
    </c:title>
    <c:autoTitleDeleted val="0"/>
    <c:plotArea>
      <c:layout>
        <c:manualLayout>
          <c:layoutTarget val="inner"/>
          <c:xMode val="edge"/>
          <c:yMode val="edge"/>
          <c:x val="0.11270836908098351"/>
          <c:y val="0.14797878298685471"/>
          <c:w val="0.86519527873387103"/>
          <c:h val="0.64058337165542023"/>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Sheet1!$D$2:$D$77</c:f>
              <c:numCache>
                <c:formatCode>0.0</c:formatCode>
                <c:ptCount val="22"/>
                <c:pt idx="0">
                  <c:v>2.6414839999999997</c:v>
                </c:pt>
                <c:pt idx="1">
                  <c:v>2.8647079999999998</c:v>
                </c:pt>
                <c:pt idx="2">
                  <c:v>3.6831960000000006</c:v>
                </c:pt>
                <c:pt idx="3">
                  <c:v>4.1668479999999999</c:v>
                </c:pt>
                <c:pt idx="4">
                  <c:v>4.501684</c:v>
                </c:pt>
                <c:pt idx="5">
                  <c:v>5.0969480000000003</c:v>
                </c:pt>
                <c:pt idx="6">
                  <c:v>5.0597440000000002</c:v>
                </c:pt>
                <c:pt idx="7">
                  <c:v>4.8365200000000002</c:v>
                </c:pt>
                <c:pt idx="8">
                  <c:v>3.05775</c:v>
                </c:pt>
                <c:pt idx="9">
                  <c:v>1.0947499999999999</c:v>
                </c:pt>
                <c:pt idx="10">
                  <c:v>0.26424999999999998</c:v>
                </c:pt>
                <c:pt idx="11">
                  <c:v>-0.18875</c:v>
                </c:pt>
                <c:pt idx="12">
                  <c:v>-2.60568</c:v>
                </c:pt>
                <c:pt idx="13">
                  <c:v>-1.8198400000000001</c:v>
                </c:pt>
                <c:pt idx="14">
                  <c:v>-1.2407999999999999</c:v>
                </c:pt>
                <c:pt idx="15">
                  <c:v>-0.82719999999999994</c:v>
                </c:pt>
                <c:pt idx="16">
                  <c:v>1.6771910999999997</c:v>
                </c:pt>
                <c:pt idx="17">
                  <c:v>2.1271692</c:v>
                </c:pt>
                <c:pt idx="18">
                  <c:v>2.1271692</c:v>
                </c:pt>
                <c:pt idx="19">
                  <c:v>2.0453550000000003</c:v>
                </c:pt>
                <c:pt idx="20">
                  <c:v>2.7426847999999997</c:v>
                </c:pt>
                <c:pt idx="21">
                  <c:v>3.0250199999999996</c:v>
                </c:pt>
              </c:numCache>
            </c:numRef>
          </c:val>
          <c:extLst>
            <c:ext xmlns:c16="http://schemas.microsoft.com/office/drawing/2014/chart" uri="{C3380CC4-5D6E-409C-BE32-E72D297353CC}">
              <c16:uniqueId val="{00000000-CF3E-42EF-8E92-A9003ACEAEF0}"/>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Sheet1!$E$2:$E$77</c:f>
              <c:numCache>
                <c:formatCode>0.0</c:formatCode>
                <c:ptCount val="22"/>
                <c:pt idx="0">
                  <c:v>0.42338649999999994</c:v>
                </c:pt>
                <c:pt idx="1">
                  <c:v>0.40555969999999997</c:v>
                </c:pt>
                <c:pt idx="2">
                  <c:v>0.41001639999999995</c:v>
                </c:pt>
                <c:pt idx="3">
                  <c:v>0.41447310000000004</c:v>
                </c:pt>
                <c:pt idx="4">
                  <c:v>0.35207929999999998</c:v>
                </c:pt>
                <c:pt idx="5">
                  <c:v>0.3476226</c:v>
                </c:pt>
                <c:pt idx="6">
                  <c:v>0.35653599999999996</c:v>
                </c:pt>
                <c:pt idx="7">
                  <c:v>0.36544939999999998</c:v>
                </c:pt>
                <c:pt idx="8">
                  <c:v>0.34943999999999997</c:v>
                </c:pt>
                <c:pt idx="9">
                  <c:v>0.33024000000000003</c:v>
                </c:pt>
                <c:pt idx="10">
                  <c:v>0.32640000000000002</c:v>
                </c:pt>
                <c:pt idx="11">
                  <c:v>0.32640000000000002</c:v>
                </c:pt>
                <c:pt idx="12">
                  <c:v>0.33596000000000004</c:v>
                </c:pt>
                <c:pt idx="13">
                  <c:v>0.30418000000000001</c:v>
                </c:pt>
                <c:pt idx="14">
                  <c:v>0.26785999999999999</c:v>
                </c:pt>
                <c:pt idx="15">
                  <c:v>0.24516000000000002</c:v>
                </c:pt>
                <c:pt idx="16">
                  <c:v>0.17654599999999998</c:v>
                </c:pt>
                <c:pt idx="17">
                  <c:v>0.219606</c:v>
                </c:pt>
                <c:pt idx="18">
                  <c:v>0.24113599999999999</c:v>
                </c:pt>
                <c:pt idx="19">
                  <c:v>0.25835999999999998</c:v>
                </c:pt>
                <c:pt idx="20">
                  <c:v>0.41162730000000003</c:v>
                </c:pt>
                <c:pt idx="21">
                  <c:v>0.37179240000000002</c:v>
                </c:pt>
              </c:numCache>
            </c:numRef>
          </c:val>
          <c:extLst>
            <c:ext xmlns:c16="http://schemas.microsoft.com/office/drawing/2014/chart" uri="{C3380CC4-5D6E-409C-BE32-E72D297353CC}">
              <c16:uniqueId val="{00000001-CF3E-42EF-8E92-A9003ACEAEF0}"/>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Sheet1!$F$2:$F$77</c:f>
              <c:numCache>
                <c:formatCode>0.0</c:formatCode>
                <c:ptCount val="22"/>
                <c:pt idx="0">
                  <c:v>1.5324900000000001</c:v>
                </c:pt>
                <c:pt idx="1">
                  <c:v>1.7545900000000001</c:v>
                </c:pt>
                <c:pt idx="2">
                  <c:v>1.88785</c:v>
                </c:pt>
                <c:pt idx="3">
                  <c:v>1.9322699999999999</c:v>
                </c:pt>
                <c:pt idx="4">
                  <c:v>1.2215499999999999</c:v>
                </c:pt>
                <c:pt idx="5">
                  <c:v>1.3548099999999998</c:v>
                </c:pt>
                <c:pt idx="6">
                  <c:v>1.5102799999999998</c:v>
                </c:pt>
                <c:pt idx="7">
                  <c:v>1.5547</c:v>
                </c:pt>
                <c:pt idx="8">
                  <c:v>1.25604</c:v>
                </c:pt>
                <c:pt idx="9">
                  <c:v>0.76757999999999993</c:v>
                </c:pt>
                <c:pt idx="10">
                  <c:v>0.51172000000000006</c:v>
                </c:pt>
                <c:pt idx="11">
                  <c:v>0.39541999999999999</c:v>
                </c:pt>
                <c:pt idx="12">
                  <c:v>8.6720000000000005E-2</c:v>
                </c:pt>
                <c:pt idx="13">
                  <c:v>2.1680000000000001E-2</c:v>
                </c:pt>
                <c:pt idx="14">
                  <c:v>-8.6720000000000005E-2</c:v>
                </c:pt>
                <c:pt idx="15">
                  <c:v>-0.17344000000000001</c:v>
                </c:pt>
                <c:pt idx="16">
                  <c:v>-0.23265</c:v>
                </c:pt>
                <c:pt idx="17">
                  <c:v>-0.14804999999999999</c:v>
                </c:pt>
                <c:pt idx="18">
                  <c:v>-4.2299999999999997E-2</c:v>
                </c:pt>
                <c:pt idx="19">
                  <c:v>2.1149999999999999E-2</c:v>
                </c:pt>
                <c:pt idx="20">
                  <c:v>0.19332000000000002</c:v>
                </c:pt>
                <c:pt idx="21">
                  <c:v>0.30071999999999999</c:v>
                </c:pt>
              </c:numCache>
            </c:numRef>
          </c:val>
          <c:extLst>
            <c:ext xmlns:c16="http://schemas.microsoft.com/office/drawing/2014/chart" uri="{C3380CC4-5D6E-409C-BE32-E72D297353CC}">
              <c16:uniqueId val="{00000002-CF3E-42EF-8E92-A9003ACEAEF0}"/>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Sheet1!$G$2:$G$77</c:f>
              <c:numCache>
                <c:formatCode>0.0</c:formatCode>
                <c:ptCount val="22"/>
                <c:pt idx="0">
                  <c:v>0.61421000000000003</c:v>
                </c:pt>
                <c:pt idx="1">
                  <c:v>0.72260000000000002</c:v>
                </c:pt>
                <c:pt idx="2">
                  <c:v>0.68647000000000002</c:v>
                </c:pt>
                <c:pt idx="3">
                  <c:v>0.68647000000000002</c:v>
                </c:pt>
                <c:pt idx="4">
                  <c:v>0.90325</c:v>
                </c:pt>
                <c:pt idx="5">
                  <c:v>1.2645500000000001</c:v>
                </c:pt>
                <c:pt idx="6">
                  <c:v>1.62585</c:v>
                </c:pt>
                <c:pt idx="7">
                  <c:v>1.8787600000000004</c:v>
                </c:pt>
                <c:pt idx="8">
                  <c:v>2.4253499999999999</c:v>
                </c:pt>
                <c:pt idx="9">
                  <c:v>2.0035499999999997</c:v>
                </c:pt>
                <c:pt idx="10">
                  <c:v>1.7575000000000001</c:v>
                </c:pt>
                <c:pt idx="11">
                  <c:v>1.5817499999999998</c:v>
                </c:pt>
                <c:pt idx="12">
                  <c:v>0.97260000000000002</c:v>
                </c:pt>
                <c:pt idx="13">
                  <c:v>0.90776000000000001</c:v>
                </c:pt>
                <c:pt idx="14">
                  <c:v>0.97260000000000002</c:v>
                </c:pt>
                <c:pt idx="15">
                  <c:v>0.97260000000000002</c:v>
                </c:pt>
                <c:pt idx="16">
                  <c:v>0.90827999999999998</c:v>
                </c:pt>
                <c:pt idx="17">
                  <c:v>0.97555999999999998</c:v>
                </c:pt>
                <c:pt idx="18">
                  <c:v>1.0092000000000001</c:v>
                </c:pt>
                <c:pt idx="19">
                  <c:v>1.0092000000000001</c:v>
                </c:pt>
                <c:pt idx="20">
                  <c:v>0.9452799999999999</c:v>
                </c:pt>
                <c:pt idx="21">
                  <c:v>0.91152</c:v>
                </c:pt>
              </c:numCache>
            </c:numRef>
          </c:val>
          <c:extLst>
            <c:ext xmlns:c16="http://schemas.microsoft.com/office/drawing/2014/chart" uri="{C3380CC4-5D6E-409C-BE32-E72D297353CC}">
              <c16:uniqueId val="{00000003-CF3E-42EF-8E92-A9003ACEAEF0}"/>
            </c:ext>
          </c:extLst>
        </c:ser>
        <c:dLbls>
          <c:showLegendKey val="0"/>
          <c:showVal val="0"/>
          <c:showCatName val="0"/>
          <c:showSerName val="0"/>
          <c:showPercent val="0"/>
          <c:showBubbleSize val="0"/>
        </c:dLbls>
        <c:gapWidth val="100"/>
        <c:overlap val="100"/>
        <c:axId val="339650048"/>
        <c:axId val="339651584"/>
      </c:barChart>
      <c:lineChart>
        <c:grouping val="standard"/>
        <c:varyColors val="0"/>
        <c:ser>
          <c:idx val="0"/>
          <c:order val="0"/>
          <c:tx>
            <c:strRef>
              <c:f>Sheet1!$C$1</c:f>
              <c:strCache>
                <c:ptCount val="1"/>
                <c:pt idx="0">
                  <c:v>Միջին գնաճ</c:v>
                </c:pt>
              </c:strCache>
            </c:strRef>
          </c:tx>
          <c:spPr>
            <a:ln w="25400" cap="rnd">
              <a:solidFill>
                <a:srgbClr val="4472C4">
                  <a:lumMod val="75000"/>
                </a:srgbClr>
              </a:solidFill>
              <a:round/>
            </a:ln>
            <a:effectLst/>
          </c:spPr>
          <c:marker>
            <c:symbol val="none"/>
          </c:marker>
          <c:dPt>
            <c:idx val="7"/>
            <c:bubble3D val="0"/>
            <c:extLst>
              <c:ext xmlns:c16="http://schemas.microsoft.com/office/drawing/2014/chart" uri="{C3380CC4-5D6E-409C-BE32-E72D297353CC}">
                <c16:uniqueId val="{00000004-CF3E-42EF-8E92-A9003ACEAEF0}"/>
              </c:ext>
            </c:extLst>
          </c:dPt>
          <c:dLbls>
            <c:dLbl>
              <c:idx val="0"/>
              <c:layout>
                <c:manualLayout>
                  <c:x val="-6.8664953368399118E-2"/>
                  <c:y val="-6.233609029718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F3E-42EF-8E92-A9003ACEAEF0}"/>
                </c:ext>
              </c:extLst>
            </c:dLbl>
            <c:dLbl>
              <c:idx val="1"/>
              <c:layout>
                <c:manualLayout>
                  <c:x val="-7.0579469466877987E-2"/>
                  <c:y val="-7.24167354584709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F3E-42EF-8E92-A9003ACEAEF0}"/>
                </c:ext>
              </c:extLst>
            </c:dLbl>
            <c:dLbl>
              <c:idx val="3"/>
              <c:layout>
                <c:manualLayout>
                  <c:x val="-6.988773055332799E-2"/>
                  <c:y val="-7.74570580391160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F3E-42EF-8E92-A9003ACEAEF0}"/>
                </c:ext>
              </c:extLst>
            </c:dLbl>
            <c:dLbl>
              <c:idx val="4"/>
              <c:layout>
                <c:manualLayout>
                  <c:x val="-7.2674576463828147E-2"/>
                  <c:y val="-2.70538322326644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F3E-42EF-8E92-A9003ACEAEF0}"/>
                </c:ext>
              </c:extLst>
            </c:dLbl>
            <c:dLbl>
              <c:idx val="5"/>
              <c:layout>
                <c:manualLayout>
                  <c:x val="-8.4693342762788171E-2"/>
                  <c:y val="-4.72151225552451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F3E-42EF-8E92-A9003ACEAEF0}"/>
                </c:ext>
              </c:extLst>
            </c:dLbl>
            <c:dLbl>
              <c:idx val="6"/>
              <c:layout>
                <c:manualLayout>
                  <c:x val="-7.4428707638489855E-2"/>
                  <c:y val="-4.72151225552451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F3E-42EF-8E92-A9003ACEAEF0}"/>
                </c:ext>
              </c:extLst>
            </c:dLbl>
            <c:dLbl>
              <c:idx val="7"/>
              <c:layout>
                <c:manualLayout>
                  <c:x val="-6.2399838352202842E-2"/>
                  <c:y val="-3.71344773939547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F3E-42EF-8E92-A9003ACEAEF0}"/>
                </c:ext>
              </c:extLst>
            </c:dLbl>
            <c:dLbl>
              <c:idx val="8"/>
              <c:layout>
                <c:manualLayout>
                  <c:x val="-4.8139156021696168E-2"/>
                  <c:y val="-3.88696183642367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F3E-42EF-8E92-A9003ACEAEF0}"/>
                </c:ext>
              </c:extLst>
            </c:dLbl>
            <c:dLbl>
              <c:idx val="9"/>
              <c:layout>
                <c:manualLayout>
                  <c:x val="-4.0197892264268967E-2"/>
                  <c:y val="-4.85470377190754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F3E-42EF-8E92-A9003ACEAEF0}"/>
                </c:ext>
              </c:extLst>
            </c:dLbl>
            <c:dLbl>
              <c:idx val="10"/>
              <c:layout>
                <c:manualLayout>
                  <c:x val="-4.4739500786138774E-2"/>
                  <c:y val="-5.358736029972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F3E-42EF-8E92-A9003ACEAEF0}"/>
                </c:ext>
              </c:extLst>
            </c:dLbl>
            <c:dLbl>
              <c:idx val="11"/>
              <c:layout>
                <c:manualLayout>
                  <c:x val="-4.7551604164956525E-2"/>
                  <c:y val="-3.79512477774956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F3E-42EF-8E92-A9003ACEAEF0}"/>
                </c:ext>
              </c:extLst>
            </c:dLbl>
            <c:dLbl>
              <c:idx val="12"/>
              <c:layout>
                <c:manualLayout>
                  <c:x val="-0.10119183678623973"/>
                  <c:y val="5.866221107442215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F3E-42EF-8E92-A9003ACEAEF0}"/>
                </c:ext>
              </c:extLst>
            </c:dLbl>
            <c:dLbl>
              <c:idx val="13"/>
              <c:layout>
                <c:manualLayout>
                  <c:x val="-5.1944825060460137E-2"/>
                  <c:y val="8.8832036639043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F3E-42EF-8E92-A9003ACEAEF0}"/>
                </c:ext>
              </c:extLst>
            </c:dLbl>
            <c:dLbl>
              <c:idx val="14"/>
              <c:layout>
                <c:manualLayout>
                  <c:x val="-8.2838813151563759E-2"/>
                  <c:y val="-7.326569876024138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CF3E-42EF-8E92-A9003ACEAEF0}"/>
                </c:ext>
              </c:extLst>
            </c:dLbl>
            <c:dLbl>
              <c:idx val="15"/>
              <c:layout>
                <c:manualLayout>
                  <c:x val="-6.6205823109320633E-2"/>
                  <c:y val="-8.21927116083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CF3E-42EF-8E92-A9003ACEAEF0}"/>
                </c:ext>
              </c:extLst>
            </c:dLbl>
            <c:dLbl>
              <c:idx val="16"/>
              <c:layout>
                <c:manualLayout>
                  <c:x val="-7.1767833351224039E-2"/>
                  <c:y val="-4.30215948870515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CF3E-42EF-8E92-A9003ACEAEF0}"/>
                </c:ext>
              </c:extLst>
            </c:dLbl>
            <c:dLbl>
              <c:idx val="17"/>
              <c:layout>
                <c:manualLayout>
                  <c:x val="-6.1626959821682273E-2"/>
                  <c:y val="-4.72151886854429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CF3E-42EF-8E92-A9003ACEAEF0}"/>
                </c:ext>
              </c:extLst>
            </c:dLbl>
            <c:dLbl>
              <c:idx val="18"/>
              <c:layout>
                <c:manualLayout>
                  <c:x val="-5.148103479847712E-2"/>
                  <c:y val="-3.98926355898004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CF3E-42EF-8E92-A9003ACEAEF0}"/>
                </c:ext>
              </c:extLst>
            </c:dLbl>
            <c:dLbl>
              <c:idx val="19"/>
              <c:layout>
                <c:manualLayout>
                  <c:x val="-6.0346406177976895E-2"/>
                  <c:y val="-6.373053785440109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CF3E-42EF-8E92-A9003ACEAEF0}"/>
                </c:ext>
              </c:extLst>
            </c:dLbl>
            <c:dLbl>
              <c:idx val="20"/>
              <c:layout>
                <c:manualLayout>
                  <c:x val="-4.8620942229855739E-2"/>
                  <c:y val="-3.98926355898003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CF3E-42EF-8E92-A9003ACEAEF0}"/>
                </c:ext>
              </c:extLst>
            </c:dLbl>
            <c:dLbl>
              <c:idx val="21"/>
              <c:layout>
                <c:manualLayout>
                  <c:x val="-1.4033680834001604E-3"/>
                  <c:y val="-3.28129663172318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CF3E-42EF-8E92-A9003ACEAEF0}"/>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Sheet1!$A$28:$B$77</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Sheet1!$C$2:$C$77</c:f>
              <c:numCache>
                <c:formatCode>0.0</c:formatCode>
                <c:ptCount val="22"/>
                <c:pt idx="0">
                  <c:v>5.2115704999999997</c:v>
                </c:pt>
                <c:pt idx="1">
                  <c:v>5.7474577</c:v>
                </c:pt>
                <c:pt idx="2">
                  <c:v>6.6675324000000007</c:v>
                </c:pt>
                <c:pt idx="3">
                  <c:v>7.2000611000000001</c:v>
                </c:pt>
                <c:pt idx="4">
                  <c:v>6.9785632999999994</c:v>
                </c:pt>
                <c:pt idx="5">
                  <c:v>8.0639306000000008</c:v>
                </c:pt>
                <c:pt idx="6">
                  <c:v>8.5524100000000001</c:v>
                </c:pt>
                <c:pt idx="7">
                  <c:v>8.6354293999999996</c:v>
                </c:pt>
                <c:pt idx="8">
                  <c:v>7.2</c:v>
                </c:pt>
                <c:pt idx="9">
                  <c:v>4.2</c:v>
                </c:pt>
                <c:pt idx="10">
                  <c:v>2.8</c:v>
                </c:pt>
                <c:pt idx="11">
                  <c:v>2</c:v>
                </c:pt>
                <c:pt idx="12">
                  <c:v>-1.2</c:v>
                </c:pt>
                <c:pt idx="13">
                  <c:v>-0.6</c:v>
                </c:pt>
                <c:pt idx="14">
                  <c:v>0</c:v>
                </c:pt>
                <c:pt idx="15">
                  <c:v>0.3</c:v>
                </c:pt>
                <c:pt idx="16">
                  <c:v>2.5</c:v>
                </c:pt>
                <c:pt idx="17">
                  <c:v>3.1</c:v>
                </c:pt>
                <c:pt idx="18">
                  <c:v>3.3</c:v>
                </c:pt>
                <c:pt idx="19">
                  <c:v>3.3</c:v>
                </c:pt>
                <c:pt idx="20">
                  <c:v>4.2</c:v>
                </c:pt>
                <c:pt idx="21">
                  <c:v>4.5999999999999996</c:v>
                </c:pt>
              </c:numCache>
            </c:numRef>
          </c:val>
          <c:smooth val="0"/>
          <c:extLst>
            <c:ext xmlns:c16="http://schemas.microsoft.com/office/drawing/2014/chart" uri="{C3380CC4-5D6E-409C-BE32-E72D297353CC}">
              <c16:uniqueId val="{00000019-CF3E-42EF-8E92-A9003ACEAEF0}"/>
            </c:ext>
          </c:extLst>
        </c:ser>
        <c:dLbls>
          <c:showLegendKey val="0"/>
          <c:showVal val="0"/>
          <c:showCatName val="0"/>
          <c:showSerName val="0"/>
          <c:showPercent val="0"/>
          <c:showBubbleSize val="0"/>
        </c:dLbls>
        <c:marker val="1"/>
        <c:smooth val="0"/>
        <c:axId val="339650048"/>
        <c:axId val="339651584"/>
      </c:lineChart>
      <c:catAx>
        <c:axId val="339650048"/>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651584"/>
        <c:crosses val="autoZero"/>
        <c:auto val="1"/>
        <c:lblAlgn val="ctr"/>
        <c:lblOffset val="100"/>
        <c:noMultiLvlLbl val="0"/>
      </c:catAx>
      <c:valAx>
        <c:axId val="339651584"/>
        <c:scaling>
          <c:orientation val="minMax"/>
          <c:max val="10"/>
        </c:scaling>
        <c:delete val="0"/>
        <c:axPos val="l"/>
        <c:majorGridlines>
          <c:spPr>
            <a:ln w="3175">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650048"/>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0.1312423813132145"/>
          <c:w val="0.84290099330803991"/>
          <c:h val="0.21350437445319334"/>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Sheet1!$D$28:$D$64</c:f>
              <c:numCache>
                <c:formatCode>General</c:formatCode>
                <c:ptCount val="17"/>
              </c:numCache>
            </c:numRef>
          </c:val>
          <c:extLst>
            <c:ext xmlns:c16="http://schemas.microsoft.com/office/drawing/2014/chart" uri="{C3380CC4-5D6E-409C-BE32-E72D297353CC}">
              <c16:uniqueId val="{00000000-4B35-4B95-8724-BF05D02937DE}"/>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Sheet1!$E$28:$E$64</c:f>
              <c:numCache>
                <c:formatCode>General</c:formatCode>
                <c:ptCount val="17"/>
              </c:numCache>
            </c:numRef>
          </c:val>
          <c:extLst>
            <c:ext xmlns:c16="http://schemas.microsoft.com/office/drawing/2014/chart" uri="{C3380CC4-5D6E-409C-BE32-E72D297353CC}">
              <c16:uniqueId val="{00000001-4B35-4B95-8724-BF05D02937DE}"/>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Sheet1!$F$28:$F$64</c:f>
              <c:numCache>
                <c:formatCode>General</c:formatCode>
                <c:ptCount val="17"/>
              </c:numCache>
            </c:numRef>
          </c:val>
          <c:extLst>
            <c:ext xmlns:c16="http://schemas.microsoft.com/office/drawing/2014/chart" uri="{C3380CC4-5D6E-409C-BE32-E72D297353CC}">
              <c16:uniqueId val="{00000002-4B35-4B95-8724-BF05D02937DE}"/>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Sheet1!$G$28:$G$64</c:f>
              <c:numCache>
                <c:formatCode>General</c:formatCode>
                <c:ptCount val="17"/>
              </c:numCache>
            </c:numRef>
          </c:val>
          <c:extLst>
            <c:ext xmlns:c16="http://schemas.microsoft.com/office/drawing/2014/chart" uri="{C3380CC4-5D6E-409C-BE32-E72D297353CC}">
              <c16:uniqueId val="{00000003-4B35-4B95-8724-BF05D02937DE}"/>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4B35-4B95-8724-BF05D02937DE}"/>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4B35-4B95-8724-BF05D02937DE}"/>
              </c:ext>
            </c:extLst>
          </c:dPt>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Sheet1!$A$28:$B$64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2019</c:v>
                  </c:pt>
                  <c:pt idx="4">
                    <c:v>2020</c:v>
                  </c:pt>
                  <c:pt idx="8">
                    <c:v>2021</c:v>
                  </c:pt>
                  <c:pt idx="12">
                    <c:v>2022</c:v>
                  </c:pt>
                  <c:pt idx="16">
                    <c:v>2023</c:v>
                  </c:pt>
                </c:lvl>
              </c:multiLvlStrCache>
            </c:multiLvlStrRef>
          </c:cat>
          <c:val>
            <c:numRef>
              <c:f>Sheet1!$C$28:$C$64</c:f>
              <c:numCache>
                <c:formatCode>General</c:formatCode>
                <c:ptCount val="17"/>
              </c:numCache>
            </c:numRef>
          </c:val>
          <c:smooth val="0"/>
          <c:extLst>
            <c:ext xmlns:c16="http://schemas.microsoft.com/office/drawing/2014/chart" uri="{C3380CC4-5D6E-409C-BE32-E72D297353CC}">
              <c16:uniqueId val="{00000006-4B35-4B95-8724-BF05D02937DE}"/>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1"/>
        <c:axPos val="b"/>
        <c:numFmt formatCode="General" sourceLinked="1"/>
        <c:majorTickMark val="out"/>
        <c:minorTickMark val="none"/>
        <c:tickLblPos val="low"/>
        <c:crossAx val="339257600"/>
        <c:crosses val="autoZero"/>
        <c:auto val="1"/>
        <c:lblAlgn val="ctr"/>
        <c:lblOffset val="100"/>
        <c:noMultiLvlLbl val="0"/>
      </c:catAx>
      <c:valAx>
        <c:axId val="339257600"/>
        <c:scaling>
          <c:orientation val="minMax"/>
        </c:scaling>
        <c:delete val="1"/>
        <c:axPos val="l"/>
        <c:numFmt formatCode="General" sourceLinked="1"/>
        <c:majorTickMark val="none"/>
        <c:minorTickMark val="none"/>
        <c:tickLblPos val="nextTo"/>
        <c:crossAx val="339256064"/>
        <c:crosses val="autoZero"/>
        <c:crossBetween val="between"/>
      </c:valAx>
      <c:spPr>
        <a:pattFill prst="ltDnDiag">
          <a:fgClr>
            <a:srgbClr val="000000">
              <a:alpha val="0"/>
            </a:srgbClr>
          </a:fgClr>
          <a:bgClr>
            <a:srgbClr val="FFFFFF"/>
          </a:bgClr>
        </a:pattFill>
        <a:ln w="25400">
          <a:noFill/>
        </a:ln>
        <a:effectLst/>
      </c:spPr>
    </c:plotArea>
    <c:legend>
      <c:legendPos val="r"/>
      <c:layout>
        <c:manualLayout>
          <c:xMode val="edge"/>
          <c:yMode val="edge"/>
          <c:x val="3.1936127744510975E-2"/>
          <c:y val="3.7699115044247791E-2"/>
          <c:w val="0.9640718562874252"/>
          <c:h val="0.96201147422943811"/>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764569708665386E-2"/>
          <c:y val="5.2009456264775412E-2"/>
          <c:w val="0.92822312490817616"/>
          <c:h val="0.57701110146041867"/>
        </c:manualLayout>
      </c:layout>
      <c:lineChart>
        <c:grouping val="standard"/>
        <c:varyColors val="0"/>
        <c:ser>
          <c:idx val="0"/>
          <c:order val="0"/>
          <c:tx>
            <c:strRef>
              <c:f>Sheet1!$C$1</c:f>
              <c:strCache>
                <c:ptCount val="1"/>
                <c:pt idx="0">
                  <c:v>ԿԲ ռեպո</c:v>
                </c:pt>
              </c:strCache>
            </c:strRef>
          </c:tx>
          <c:spPr>
            <a:ln w="31750" cap="rnd">
              <a:solidFill>
                <a:srgbClr val="4F81BD">
                  <a:lumMod val="75000"/>
                </a:srgbClr>
              </a:solidFill>
              <a:round/>
            </a:ln>
            <a:effectLst/>
          </c:spPr>
          <c:marker>
            <c:symbol val="none"/>
          </c:marker>
          <c:cat>
            <c:multiLvlStrRef>
              <c:f>Sheet1!$A$38:$B$103</c:f>
              <c:multiLvlStrCache>
                <c:ptCount val="66"/>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pt idx="65">
                    <c:v>6</c:v>
                  </c:pt>
                </c:lvl>
                <c:lvl>
                  <c:pt idx="0">
                    <c:v>2021</c:v>
                  </c:pt>
                  <c:pt idx="12">
                    <c:v>2022</c:v>
                  </c:pt>
                  <c:pt idx="24">
                    <c:v>2023</c:v>
                  </c:pt>
                  <c:pt idx="36">
                    <c:v>2024</c:v>
                  </c:pt>
                  <c:pt idx="48">
                    <c:v>2025</c:v>
                  </c:pt>
                  <c:pt idx="60">
                    <c:v>2026</c:v>
                  </c:pt>
                </c:lvl>
              </c:multiLvlStrCache>
            </c:multiLvlStrRef>
          </c:cat>
          <c:val>
            <c:numRef>
              <c:f>Sheet1!$C$2:$C$103</c:f>
              <c:numCache>
                <c:formatCode>0.00</c:formatCode>
                <c:ptCount val="66"/>
                <c:pt idx="0">
                  <c:v>5.25</c:v>
                </c:pt>
                <c:pt idx="1">
                  <c:v>5.5</c:v>
                </c:pt>
                <c:pt idx="2">
                  <c:v>5.5</c:v>
                </c:pt>
                <c:pt idx="3">
                  <c:v>5.5</c:v>
                </c:pt>
                <c:pt idx="4">
                  <c:v>6</c:v>
                </c:pt>
                <c:pt idx="5">
                  <c:v>6.5</c:v>
                </c:pt>
                <c:pt idx="6">
                  <c:v>6.5</c:v>
                </c:pt>
                <c:pt idx="7">
                  <c:v>7</c:v>
                </c:pt>
                <c:pt idx="8">
                  <c:v>7.25</c:v>
                </c:pt>
                <c:pt idx="9">
                  <c:v>7.25</c:v>
                </c:pt>
                <c:pt idx="10">
                  <c:v>7.25</c:v>
                </c:pt>
                <c:pt idx="11">
                  <c:v>7.75</c:v>
                </c:pt>
                <c:pt idx="12">
                  <c:v>7.75</c:v>
                </c:pt>
                <c:pt idx="13">
                  <c:v>8</c:v>
                </c:pt>
                <c:pt idx="14">
                  <c:v>9.25</c:v>
                </c:pt>
                <c:pt idx="15">
                  <c:v>9.25</c:v>
                </c:pt>
                <c:pt idx="16">
                  <c:v>9.25</c:v>
                </c:pt>
                <c:pt idx="17">
                  <c:v>9.25</c:v>
                </c:pt>
                <c:pt idx="18">
                  <c:v>9.25</c:v>
                </c:pt>
                <c:pt idx="19">
                  <c:v>9.5</c:v>
                </c:pt>
                <c:pt idx="20" formatCode="0.0">
                  <c:v>10</c:v>
                </c:pt>
                <c:pt idx="21" formatCode="0.0">
                  <c:v>10</c:v>
                </c:pt>
                <c:pt idx="22">
                  <c:v>10.483333333333333</c:v>
                </c:pt>
                <c:pt idx="23">
                  <c:v>10.64516129032258</c:v>
                </c:pt>
                <c:pt idx="24">
                  <c:v>10.75</c:v>
                </c:pt>
                <c:pt idx="25">
                  <c:v>10.75</c:v>
                </c:pt>
                <c:pt idx="26">
                  <c:v>10.75</c:v>
                </c:pt>
                <c:pt idx="27">
                  <c:v>10.75</c:v>
                </c:pt>
                <c:pt idx="28">
                  <c:v>10.75</c:v>
                </c:pt>
                <c:pt idx="29">
                  <c:v>10.5</c:v>
                </c:pt>
                <c:pt idx="30">
                  <c:v>10.5</c:v>
                </c:pt>
                <c:pt idx="31">
                  <c:v>10.25</c:v>
                </c:pt>
                <c:pt idx="32">
                  <c:v>9.75</c:v>
                </c:pt>
                <c:pt idx="33">
                  <c:v>9.75</c:v>
                </c:pt>
                <c:pt idx="34">
                  <c:v>9.5</c:v>
                </c:pt>
                <c:pt idx="35">
                  <c:v>9.25</c:v>
                </c:pt>
                <c:pt idx="36">
                  <c:v>8.75</c:v>
                </c:pt>
                <c:pt idx="37">
                  <c:v>8.75</c:v>
                </c:pt>
                <c:pt idx="38">
                  <c:v>8.5</c:v>
                </c:pt>
                <c:pt idx="39">
                  <c:v>8.25</c:v>
                </c:pt>
                <c:pt idx="40">
                  <c:v>8.25</c:v>
                </c:pt>
                <c:pt idx="41">
                  <c:v>8</c:v>
                </c:pt>
                <c:pt idx="42">
                  <c:v>7.75</c:v>
                </c:pt>
                <c:pt idx="43">
                  <c:v>7.75</c:v>
                </c:pt>
                <c:pt idx="44">
                  <c:v>7.5</c:v>
                </c:pt>
                <c:pt idx="45">
                  <c:v>7.25</c:v>
                </c:pt>
                <c:pt idx="46">
                  <c:v>7.25</c:v>
                </c:pt>
                <c:pt idx="47">
                  <c:v>7</c:v>
                </c:pt>
                <c:pt idx="48">
                  <c:v>7</c:v>
                </c:pt>
                <c:pt idx="49">
                  <c:v>6.75</c:v>
                </c:pt>
                <c:pt idx="50">
                  <c:v>6.75</c:v>
                </c:pt>
                <c:pt idx="51">
                  <c:v>6.75</c:v>
                </c:pt>
                <c:pt idx="52">
                  <c:v>6.75</c:v>
                </c:pt>
                <c:pt idx="53">
                  <c:v>6.75</c:v>
                </c:pt>
                <c:pt idx="54">
                  <c:v>6.75</c:v>
                </c:pt>
                <c:pt idx="55">
                  <c:v>6.75</c:v>
                </c:pt>
                <c:pt idx="56">
                  <c:v>6.75</c:v>
                </c:pt>
                <c:pt idx="57">
                  <c:v>6.75</c:v>
                </c:pt>
                <c:pt idx="58">
                  <c:v>6.75</c:v>
                </c:pt>
                <c:pt idx="59">
                  <c:v>6.5</c:v>
                </c:pt>
                <c:pt idx="60" formatCode="0.0">
                  <c:v>6.5</c:v>
                </c:pt>
                <c:pt idx="61" formatCode="0.0">
                  <c:v>6.5</c:v>
                </c:pt>
                <c:pt idx="62" formatCode="0.0">
                  <c:v>6.5</c:v>
                </c:pt>
                <c:pt idx="63" formatCode="0.0">
                  <c:v>6.5</c:v>
                </c:pt>
                <c:pt idx="64" formatCode="0.0">
                  <c:v>6.5</c:v>
                </c:pt>
                <c:pt idx="65" formatCode="0.0">
                  <c:v>6.5</c:v>
                </c:pt>
              </c:numCache>
            </c:numRef>
          </c:val>
          <c:smooth val="0"/>
          <c:extLst>
            <c:ext xmlns:c16="http://schemas.microsoft.com/office/drawing/2014/chart" uri="{C3380CC4-5D6E-409C-BE32-E72D297353CC}">
              <c16:uniqueId val="{00000000-E32E-47BB-AB44-5E8DE8B1C7A0}"/>
            </c:ext>
          </c:extLst>
        </c:ser>
        <c:ser>
          <c:idx val="1"/>
          <c:order val="1"/>
          <c:tx>
            <c:strRef>
              <c:f>Sheet1!$D$1</c:f>
              <c:strCache>
                <c:ptCount val="1"/>
                <c:pt idx="0">
                  <c:v>Միջբանկային ռեպո</c:v>
                </c:pt>
              </c:strCache>
            </c:strRef>
          </c:tx>
          <c:spPr>
            <a:ln w="19050" cap="rnd">
              <a:solidFill>
                <a:schemeClr val="accent2"/>
              </a:solidFill>
              <a:prstDash val="solid"/>
              <a:round/>
            </a:ln>
            <a:effectLst/>
          </c:spPr>
          <c:marker>
            <c:symbol val="none"/>
          </c:marker>
          <c:cat>
            <c:multiLvlStrRef>
              <c:f>Sheet1!$A$38:$B$103</c:f>
              <c:multiLvlStrCache>
                <c:ptCount val="66"/>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pt idx="65">
                    <c:v>6</c:v>
                  </c:pt>
                </c:lvl>
                <c:lvl>
                  <c:pt idx="0">
                    <c:v>2021</c:v>
                  </c:pt>
                  <c:pt idx="12">
                    <c:v>2022</c:v>
                  </c:pt>
                  <c:pt idx="24">
                    <c:v>2023</c:v>
                  </c:pt>
                  <c:pt idx="36">
                    <c:v>2024</c:v>
                  </c:pt>
                  <c:pt idx="48">
                    <c:v>2025</c:v>
                  </c:pt>
                  <c:pt idx="60">
                    <c:v>2026</c:v>
                  </c:pt>
                </c:lvl>
              </c:multiLvlStrCache>
            </c:multiLvlStrRef>
          </c:cat>
          <c:val>
            <c:numRef>
              <c:f>Sheet1!$D$2:$D$103</c:f>
            </c:numRef>
          </c:val>
          <c:smooth val="0"/>
          <c:extLst>
            <c:ext xmlns:c16="http://schemas.microsoft.com/office/drawing/2014/chart" uri="{C3380CC4-5D6E-409C-BE32-E72D297353CC}">
              <c16:uniqueId val="{00000001-E32E-47BB-AB44-5E8DE8B1C7A0}"/>
            </c:ext>
          </c:extLst>
        </c:ser>
        <c:ser>
          <c:idx val="2"/>
          <c:order val="2"/>
          <c:tx>
            <c:strRef>
              <c:f>Sheet1!$E$1</c:f>
              <c:strCache>
                <c:ptCount val="1"/>
                <c:pt idx="0">
                  <c:v>Պետական պարտատոմսեր, 1տ․</c:v>
                </c:pt>
              </c:strCache>
            </c:strRef>
          </c:tx>
          <c:spPr>
            <a:ln w="19050" cap="rnd">
              <a:solidFill>
                <a:srgbClr val="9BBB59">
                  <a:lumMod val="60000"/>
                  <a:lumOff val="40000"/>
                </a:srgbClr>
              </a:solidFill>
              <a:round/>
            </a:ln>
            <a:effectLst/>
          </c:spPr>
          <c:marker>
            <c:symbol val="none"/>
          </c:marker>
          <c:cat>
            <c:multiLvlStrRef>
              <c:f>Sheet1!$A$38:$B$103</c:f>
              <c:multiLvlStrCache>
                <c:ptCount val="66"/>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pt idx="65">
                    <c:v>6</c:v>
                  </c:pt>
                </c:lvl>
                <c:lvl>
                  <c:pt idx="0">
                    <c:v>2021</c:v>
                  </c:pt>
                  <c:pt idx="12">
                    <c:v>2022</c:v>
                  </c:pt>
                  <c:pt idx="24">
                    <c:v>2023</c:v>
                  </c:pt>
                  <c:pt idx="36">
                    <c:v>2024</c:v>
                  </c:pt>
                  <c:pt idx="48">
                    <c:v>2025</c:v>
                  </c:pt>
                  <c:pt idx="60">
                    <c:v>2026</c:v>
                  </c:pt>
                </c:lvl>
              </c:multiLvlStrCache>
            </c:multiLvlStrRef>
          </c:cat>
          <c:val>
            <c:numRef>
              <c:f>Sheet1!$E$2:$E$103</c:f>
              <c:numCache>
                <c:formatCode>0.0</c:formatCode>
                <c:ptCount val="66"/>
                <c:pt idx="0">
                  <c:v>6.8925232558139538</c:v>
                </c:pt>
                <c:pt idx="1">
                  <c:v>6.8010142857142855</c:v>
                </c:pt>
                <c:pt idx="2">
                  <c:v>6.8712428571428568</c:v>
                </c:pt>
                <c:pt idx="3">
                  <c:v>6.8708857142857145</c:v>
                </c:pt>
                <c:pt idx="4">
                  <c:v>7.0861142857142854</c:v>
                </c:pt>
                <c:pt idx="5">
                  <c:v>7.3503850130953534</c:v>
                </c:pt>
                <c:pt idx="6">
                  <c:v>7.8607287499999998</c:v>
                </c:pt>
                <c:pt idx="7">
                  <c:v>8.2888199999999994</c:v>
                </c:pt>
                <c:pt idx="8">
                  <c:v>8.4334571428571437</c:v>
                </c:pt>
                <c:pt idx="9">
                  <c:v>8.7411909865697641</c:v>
                </c:pt>
                <c:pt idx="10">
                  <c:v>8.9</c:v>
                </c:pt>
                <c:pt idx="11">
                  <c:v>9.0296000000000003</c:v>
                </c:pt>
                <c:pt idx="12">
                  <c:v>9.057884210526316</c:v>
                </c:pt>
                <c:pt idx="13">
                  <c:v>8.99939</c:v>
                </c:pt>
                <c:pt idx="14">
                  <c:v>9.6898681818181824</c:v>
                </c:pt>
                <c:pt idx="15">
                  <c:v>10.165071428571427</c:v>
                </c:pt>
                <c:pt idx="16">
                  <c:v>10.262547619047622</c:v>
                </c:pt>
                <c:pt idx="17">
                  <c:v>10.307509090909091</c:v>
                </c:pt>
                <c:pt idx="18">
                  <c:v>10.428950000000002</c:v>
                </c:pt>
                <c:pt idx="19">
                  <c:v>10.479456521739131</c:v>
                </c:pt>
                <c:pt idx="20">
                  <c:v>10.583795238095238</c:v>
                </c:pt>
                <c:pt idx="21">
                  <c:v>11.060600000000001</c:v>
                </c:pt>
                <c:pt idx="22">
                  <c:v>11.411</c:v>
                </c:pt>
                <c:pt idx="23">
                  <c:v>11.7258</c:v>
                </c:pt>
                <c:pt idx="24">
                  <c:v>11.622784999999997</c:v>
                </c:pt>
                <c:pt idx="25">
                  <c:v>11.471364999999997</c:v>
                </c:pt>
                <c:pt idx="26">
                  <c:v>11.59599090909091</c:v>
                </c:pt>
                <c:pt idx="27">
                  <c:v>11.638299999999999</c:v>
                </c:pt>
                <c:pt idx="28">
                  <c:v>11.352</c:v>
                </c:pt>
                <c:pt idx="29">
                  <c:v>11.119063636363636</c:v>
                </c:pt>
                <c:pt idx="30">
                  <c:v>11.074404999999997</c:v>
                </c:pt>
                <c:pt idx="31">
                  <c:v>10.690721739130435</c:v>
                </c:pt>
                <c:pt idx="32">
                  <c:v>10.312649999999998</c:v>
                </c:pt>
                <c:pt idx="33">
                  <c:v>10.444277272727273</c:v>
                </c:pt>
                <c:pt idx="34">
                  <c:v>10.406086363636364</c:v>
                </c:pt>
                <c:pt idx="35">
                  <c:v>10.537519047619048</c:v>
                </c:pt>
                <c:pt idx="36">
                  <c:v>10.598219047619049</c:v>
                </c:pt>
                <c:pt idx="37">
                  <c:v>10.203671428571429</c:v>
                </c:pt>
                <c:pt idx="38">
                  <c:v>9.6918150000000018</c:v>
                </c:pt>
                <c:pt idx="39">
                  <c:v>9.5597904761904751</c:v>
                </c:pt>
                <c:pt idx="40">
                  <c:v>9.4342949999999988</c:v>
                </c:pt>
                <c:pt idx="41">
                  <c:v>9.2490199999999998</c:v>
                </c:pt>
                <c:pt idx="42">
                  <c:v>9.0509590909090907</c:v>
                </c:pt>
                <c:pt idx="43">
                  <c:v>9.0829772727272715</c:v>
                </c:pt>
                <c:pt idx="44">
                  <c:v>9.1222571428571442</c:v>
                </c:pt>
                <c:pt idx="45">
                  <c:v>9.0515521739130413</c:v>
                </c:pt>
                <c:pt idx="46">
                  <c:v>9.0151857142857139</c:v>
                </c:pt>
                <c:pt idx="47">
                  <c:v>8.9560380952380942</c:v>
                </c:pt>
                <c:pt idx="48">
                  <c:v>8.7807684210526311</c:v>
                </c:pt>
                <c:pt idx="49">
                  <c:v>8.4206950000000003</c:v>
                </c:pt>
                <c:pt idx="50">
                  <c:v>8.4217999999999993</c:v>
                </c:pt>
                <c:pt idx="51">
                  <c:v>8.4203428571428578</c:v>
                </c:pt>
                <c:pt idx="52">
                  <c:v>8.3099999999999987</c:v>
                </c:pt>
                <c:pt idx="53">
                  <c:v>8.2200523809523798</c:v>
                </c:pt>
                <c:pt idx="54">
                  <c:v>8.2384695652173914</c:v>
                </c:pt>
                <c:pt idx="55">
                  <c:v>8.3040857142857156</c:v>
                </c:pt>
                <c:pt idx="56">
                  <c:v>8.1961272727272743</c:v>
                </c:pt>
                <c:pt idx="57">
                  <c:v>7.9496521739130426</c:v>
                </c:pt>
                <c:pt idx="58">
                  <c:v>7.6970749999999999</c:v>
                </c:pt>
                <c:pt idx="59">
                  <c:v>7.4777772727272716</c:v>
                </c:pt>
                <c:pt idx="60">
                  <c:v>7.2940999999999985</c:v>
                </c:pt>
                <c:pt idx="61">
                  <c:v>7.0359399999999992</c:v>
                </c:pt>
                <c:pt idx="62">
                  <c:v>6.9803681818181813</c:v>
                </c:pt>
                <c:pt idx="63">
                  <c:v>7.0132909090909097</c:v>
                </c:pt>
                <c:pt idx="64">
                  <c:v>6.9286833333333337</c:v>
                </c:pt>
                <c:pt idx="65">
                  <c:v>6.9120227272727277</c:v>
                </c:pt>
              </c:numCache>
            </c:numRef>
          </c:val>
          <c:smooth val="0"/>
          <c:extLst>
            <c:ext xmlns:c16="http://schemas.microsoft.com/office/drawing/2014/chart" uri="{C3380CC4-5D6E-409C-BE32-E72D297353CC}">
              <c16:uniqueId val="{00000002-E32E-47BB-AB44-5E8DE8B1C7A0}"/>
            </c:ext>
          </c:extLst>
        </c:ser>
        <c:ser>
          <c:idx val="3"/>
          <c:order val="3"/>
          <c:tx>
            <c:strRef>
              <c:f>Sheet1!$F$1</c:f>
              <c:strCache>
                <c:ptCount val="1"/>
                <c:pt idx="0">
                  <c:v>Պետական պարտատոմսեր, 10տ․</c:v>
                </c:pt>
              </c:strCache>
            </c:strRef>
          </c:tx>
          <c:spPr>
            <a:ln w="19050" cap="rnd">
              <a:solidFill>
                <a:srgbClr val="8064A2">
                  <a:lumMod val="60000"/>
                  <a:lumOff val="40000"/>
                </a:srgbClr>
              </a:solidFill>
              <a:round/>
            </a:ln>
            <a:effectLst/>
          </c:spPr>
          <c:marker>
            <c:symbol val="none"/>
          </c:marker>
          <c:cat>
            <c:multiLvlStrRef>
              <c:f>Sheet1!$A$38:$B$103</c:f>
              <c:multiLvlStrCache>
                <c:ptCount val="66"/>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pt idx="65">
                    <c:v>6</c:v>
                  </c:pt>
                </c:lvl>
                <c:lvl>
                  <c:pt idx="0">
                    <c:v>2021</c:v>
                  </c:pt>
                  <c:pt idx="12">
                    <c:v>2022</c:v>
                  </c:pt>
                  <c:pt idx="24">
                    <c:v>2023</c:v>
                  </c:pt>
                  <c:pt idx="36">
                    <c:v>2024</c:v>
                  </c:pt>
                  <c:pt idx="48">
                    <c:v>2025</c:v>
                  </c:pt>
                  <c:pt idx="60">
                    <c:v>2026</c:v>
                  </c:pt>
                </c:lvl>
              </c:multiLvlStrCache>
            </c:multiLvlStrRef>
          </c:cat>
          <c:val>
            <c:numRef>
              <c:f>Sheet1!$F$2:$F$103</c:f>
              <c:numCache>
                <c:formatCode>0.0</c:formatCode>
                <c:ptCount val="66"/>
                <c:pt idx="0">
                  <c:v>9.1305357142857151</c:v>
                </c:pt>
                <c:pt idx="1">
                  <c:v>8.7364000000000015</c:v>
                </c:pt>
                <c:pt idx="2">
                  <c:v>8.8150272727272725</c:v>
                </c:pt>
                <c:pt idx="3">
                  <c:v>8.9161227272727253</c:v>
                </c:pt>
                <c:pt idx="4">
                  <c:v>9.0098500000000001</c:v>
                </c:pt>
                <c:pt idx="5">
                  <c:v>9.0018772727272722</c:v>
                </c:pt>
                <c:pt idx="6">
                  <c:v>9.2964285714285708</c:v>
                </c:pt>
                <c:pt idx="7">
                  <c:v>9.612345454545455</c:v>
                </c:pt>
                <c:pt idx="8">
                  <c:v>10.014661904761903</c:v>
                </c:pt>
                <c:pt idx="9">
                  <c:v>10.005904761904763</c:v>
                </c:pt>
                <c:pt idx="10">
                  <c:v>10.029559090909091</c:v>
                </c:pt>
                <c:pt idx="11">
                  <c:v>10.023227272727274</c:v>
                </c:pt>
                <c:pt idx="12">
                  <c:v>10.097063157894738</c:v>
                </c:pt>
                <c:pt idx="13">
                  <c:v>10.036735000000002</c:v>
                </c:pt>
                <c:pt idx="14">
                  <c:v>10.728454545454547</c:v>
                </c:pt>
                <c:pt idx="15">
                  <c:v>11.249590476190477</c:v>
                </c:pt>
                <c:pt idx="16">
                  <c:v>11.120128571428571</c:v>
                </c:pt>
                <c:pt idx="17">
                  <c:v>11.198654545454545</c:v>
                </c:pt>
                <c:pt idx="18">
                  <c:v>11.361525</c:v>
                </c:pt>
                <c:pt idx="19">
                  <c:v>11.365604347826087</c:v>
                </c:pt>
                <c:pt idx="20">
                  <c:v>11.536523809523809</c:v>
                </c:pt>
                <c:pt idx="21">
                  <c:v>11.867000000000001</c:v>
                </c:pt>
                <c:pt idx="22">
                  <c:v>12.027100000000001</c:v>
                </c:pt>
                <c:pt idx="23">
                  <c:v>11.9946</c:v>
                </c:pt>
                <c:pt idx="24">
                  <c:v>11.776389999999999</c:v>
                </c:pt>
                <c:pt idx="25">
                  <c:v>11.618069999999999</c:v>
                </c:pt>
                <c:pt idx="26">
                  <c:v>11.707554545454544</c:v>
                </c:pt>
                <c:pt idx="27">
                  <c:v>11.611273684210525</c:v>
                </c:pt>
                <c:pt idx="28">
                  <c:v>11.313780952380954</c:v>
                </c:pt>
                <c:pt idx="29">
                  <c:v>10.890645454545453</c:v>
                </c:pt>
                <c:pt idx="30">
                  <c:v>10.690165</c:v>
                </c:pt>
                <c:pt idx="31">
                  <c:v>10.407113043478262</c:v>
                </c:pt>
                <c:pt idx="32">
                  <c:v>10.219114999999999</c:v>
                </c:pt>
                <c:pt idx="33">
                  <c:v>10.363563636363638</c:v>
                </c:pt>
                <c:pt idx="34">
                  <c:v>10.604459090909092</c:v>
                </c:pt>
                <c:pt idx="35">
                  <c:v>10.752557142857144</c:v>
                </c:pt>
                <c:pt idx="36">
                  <c:v>10.706314285714289</c:v>
                </c:pt>
                <c:pt idx="37">
                  <c:v>10.151619047619047</c:v>
                </c:pt>
                <c:pt idx="38">
                  <c:v>9.7728300000000008</c:v>
                </c:pt>
                <c:pt idx="39">
                  <c:v>9.6768571428571448</c:v>
                </c:pt>
                <c:pt idx="40">
                  <c:v>9.6871050000000007</c:v>
                </c:pt>
                <c:pt idx="41">
                  <c:v>9.6936650000000011</c:v>
                </c:pt>
                <c:pt idx="42">
                  <c:v>9.7028500000000015</c:v>
                </c:pt>
                <c:pt idx="43">
                  <c:v>9.7344181818181834</c:v>
                </c:pt>
                <c:pt idx="44">
                  <c:v>9.7281238095238081</c:v>
                </c:pt>
                <c:pt idx="45">
                  <c:v>9.8332913043478261</c:v>
                </c:pt>
                <c:pt idx="46">
                  <c:v>9.8554571428571442</c:v>
                </c:pt>
                <c:pt idx="47">
                  <c:v>9.8331666666666671</c:v>
                </c:pt>
                <c:pt idx="48">
                  <c:v>9.8650999999999982</c:v>
                </c:pt>
                <c:pt idx="49">
                  <c:v>9.7879499999999986</c:v>
                </c:pt>
                <c:pt idx="50">
                  <c:v>9.6925047619047628</c:v>
                </c:pt>
                <c:pt idx="51">
                  <c:v>9.7252285714285716</c:v>
                </c:pt>
                <c:pt idx="52">
                  <c:v>9.7030263157894723</c:v>
                </c:pt>
                <c:pt idx="53">
                  <c:v>9.7544285714285692</c:v>
                </c:pt>
                <c:pt idx="54">
                  <c:v>9.8545391304347838</c:v>
                </c:pt>
                <c:pt idx="55">
                  <c:v>9.8118047619047619</c:v>
                </c:pt>
                <c:pt idx="56">
                  <c:v>9.6259636363636378</c:v>
                </c:pt>
                <c:pt idx="57">
                  <c:v>9.4875826086956536</c:v>
                </c:pt>
                <c:pt idx="58">
                  <c:v>8.8498099999999997</c:v>
                </c:pt>
                <c:pt idx="59">
                  <c:v>8.7264500000000016</c:v>
                </c:pt>
                <c:pt idx="60">
                  <c:v>8.4648764705882371</c:v>
                </c:pt>
                <c:pt idx="61">
                  <c:v>7.8895000000000008</c:v>
                </c:pt>
                <c:pt idx="62">
                  <c:v>8.1966090909090923</c:v>
                </c:pt>
                <c:pt idx="63">
                  <c:v>8.7048772727272734</c:v>
                </c:pt>
                <c:pt idx="64">
                  <c:v>8.457305555555557</c:v>
                </c:pt>
                <c:pt idx="65">
                  <c:v>8.4015545454545428</c:v>
                </c:pt>
              </c:numCache>
            </c:numRef>
          </c:val>
          <c:smooth val="0"/>
          <c:extLst>
            <c:ext xmlns:c16="http://schemas.microsoft.com/office/drawing/2014/chart" uri="{C3380CC4-5D6E-409C-BE32-E72D297353CC}">
              <c16:uniqueId val="{00000003-E32E-47BB-AB44-5E8DE8B1C7A0}"/>
            </c:ext>
          </c:extLst>
        </c:ser>
        <c:ser>
          <c:idx val="4"/>
          <c:order val="4"/>
          <c:tx>
            <c:strRef>
              <c:f>Sheet1!$G$1</c:f>
              <c:strCache>
                <c:ptCount val="1"/>
                <c:pt idx="0">
                  <c:v>Վարկեր, մինչև 1 տ․</c:v>
                </c:pt>
              </c:strCache>
            </c:strRef>
          </c:tx>
          <c:spPr>
            <a:ln w="25400" cap="rnd">
              <a:solidFill>
                <a:srgbClr val="4BACC6">
                  <a:lumMod val="60000"/>
                  <a:lumOff val="40000"/>
                </a:srgbClr>
              </a:solidFill>
              <a:round/>
            </a:ln>
            <a:effectLst/>
          </c:spPr>
          <c:marker>
            <c:symbol val="none"/>
          </c:marker>
          <c:cat>
            <c:multiLvlStrRef>
              <c:f>Sheet1!$A$38:$B$103</c:f>
              <c:multiLvlStrCache>
                <c:ptCount val="66"/>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pt idx="65">
                    <c:v>6</c:v>
                  </c:pt>
                </c:lvl>
                <c:lvl>
                  <c:pt idx="0">
                    <c:v>2021</c:v>
                  </c:pt>
                  <c:pt idx="12">
                    <c:v>2022</c:v>
                  </c:pt>
                  <c:pt idx="24">
                    <c:v>2023</c:v>
                  </c:pt>
                  <c:pt idx="36">
                    <c:v>2024</c:v>
                  </c:pt>
                  <c:pt idx="48">
                    <c:v>2025</c:v>
                  </c:pt>
                  <c:pt idx="60">
                    <c:v>2026</c:v>
                  </c:pt>
                </c:lvl>
              </c:multiLvlStrCache>
            </c:multiLvlStrRef>
          </c:cat>
          <c:val>
            <c:numRef>
              <c:f>Sheet1!$G$2:$G$103</c:f>
              <c:numCache>
                <c:formatCode>0.0</c:formatCode>
                <c:ptCount val="66"/>
                <c:pt idx="0">
                  <c:v>11.549209942466879</c:v>
                </c:pt>
                <c:pt idx="1">
                  <c:v>12.265284498474417</c:v>
                </c:pt>
                <c:pt idx="2">
                  <c:v>11.961990666081375</c:v>
                </c:pt>
                <c:pt idx="3">
                  <c:v>11.697603968729714</c:v>
                </c:pt>
                <c:pt idx="4">
                  <c:v>11.46349671816964</c:v>
                </c:pt>
                <c:pt idx="5">
                  <c:v>10.411636000567436</c:v>
                </c:pt>
                <c:pt idx="6">
                  <c:v>11.825994181857787</c:v>
                </c:pt>
                <c:pt idx="7">
                  <c:v>11.937044148439007</c:v>
                </c:pt>
                <c:pt idx="8">
                  <c:v>12.208102534160609</c:v>
                </c:pt>
                <c:pt idx="9">
                  <c:v>11.779293223642544</c:v>
                </c:pt>
                <c:pt idx="10">
                  <c:v>11.765812609481552</c:v>
                </c:pt>
                <c:pt idx="11">
                  <c:v>12.277436640171302</c:v>
                </c:pt>
                <c:pt idx="12">
                  <c:v>12.136173486114288</c:v>
                </c:pt>
                <c:pt idx="13">
                  <c:v>12.219833307639213</c:v>
                </c:pt>
                <c:pt idx="14">
                  <c:v>12.491087907189435</c:v>
                </c:pt>
                <c:pt idx="15">
                  <c:v>11.489323502789608</c:v>
                </c:pt>
                <c:pt idx="16">
                  <c:v>11.536903872779591</c:v>
                </c:pt>
                <c:pt idx="17">
                  <c:v>11.274733470496635</c:v>
                </c:pt>
                <c:pt idx="18">
                  <c:v>11.699386745104745</c:v>
                </c:pt>
                <c:pt idx="19">
                  <c:v>11.535369601703893</c:v>
                </c:pt>
                <c:pt idx="20">
                  <c:v>11.773619839763745</c:v>
                </c:pt>
                <c:pt idx="21">
                  <c:v>11.725462493526342</c:v>
                </c:pt>
                <c:pt idx="22">
                  <c:v>11.090510930662978</c:v>
                </c:pt>
                <c:pt idx="23">
                  <c:v>12.026777148567596</c:v>
                </c:pt>
                <c:pt idx="24">
                  <c:v>11.758733642189338</c:v>
                </c:pt>
                <c:pt idx="25">
                  <c:v>11.81813621014304</c:v>
                </c:pt>
                <c:pt idx="26">
                  <c:v>12.280686192171711</c:v>
                </c:pt>
                <c:pt idx="27">
                  <c:v>13.128028635271743</c:v>
                </c:pt>
                <c:pt idx="28">
                  <c:v>12.600028383172315</c:v>
                </c:pt>
                <c:pt idx="29">
                  <c:v>12.139632381709292</c:v>
                </c:pt>
                <c:pt idx="30">
                  <c:v>12.29666154156954</c:v>
                </c:pt>
                <c:pt idx="31">
                  <c:v>12.328377353012261</c:v>
                </c:pt>
                <c:pt idx="32">
                  <c:v>12.732583194951411</c:v>
                </c:pt>
                <c:pt idx="33">
                  <c:v>12.336272171099267</c:v>
                </c:pt>
                <c:pt idx="34">
                  <c:v>12.701744746093986</c:v>
                </c:pt>
                <c:pt idx="35">
                  <c:v>12.501984365787607</c:v>
                </c:pt>
                <c:pt idx="36">
                  <c:v>12.7588268289648</c:v>
                </c:pt>
                <c:pt idx="37">
                  <c:v>13.165103884880343</c:v>
                </c:pt>
                <c:pt idx="38">
                  <c:v>12.283746075334658</c:v>
                </c:pt>
                <c:pt idx="39">
                  <c:v>12.500070931752306</c:v>
                </c:pt>
                <c:pt idx="40">
                  <c:v>12.859224711990501</c:v>
                </c:pt>
                <c:pt idx="41">
                  <c:v>12.921482369357351</c:v>
                </c:pt>
                <c:pt idx="42">
                  <c:v>13.798832553149152</c:v>
                </c:pt>
                <c:pt idx="43">
                  <c:v>13.365097498508602</c:v>
                </c:pt>
                <c:pt idx="44">
                  <c:v>13.681483408895364</c:v>
                </c:pt>
                <c:pt idx="45">
                  <c:v>13.751132907644719</c:v>
                </c:pt>
                <c:pt idx="46">
                  <c:v>13.408863578162219</c:v>
                </c:pt>
                <c:pt idx="47">
                  <c:v>13.169240186844304</c:v>
                </c:pt>
                <c:pt idx="48">
                  <c:v>12.995773322950253</c:v>
                </c:pt>
                <c:pt idx="49">
                  <c:v>13.881112858405945</c:v>
                </c:pt>
                <c:pt idx="50">
                  <c:v>14.167413604676916</c:v>
                </c:pt>
                <c:pt idx="51">
                  <c:v>14.022044422510952</c:v>
                </c:pt>
                <c:pt idx="52">
                  <c:v>13.990425436100152</c:v>
                </c:pt>
                <c:pt idx="53">
                  <c:v>13.256688893104567</c:v>
                </c:pt>
                <c:pt idx="54">
                  <c:v>13.811876927163123</c:v>
                </c:pt>
                <c:pt idx="55">
                  <c:v>14.179877992367246</c:v>
                </c:pt>
                <c:pt idx="56">
                  <c:v>13.685277985035899</c:v>
                </c:pt>
                <c:pt idx="57">
                  <c:v>13.912783529967479</c:v>
                </c:pt>
                <c:pt idx="58">
                  <c:v>13.888225890614899</c:v>
                </c:pt>
                <c:pt idx="59">
                  <c:v>13.601499888389956</c:v>
                </c:pt>
                <c:pt idx="60">
                  <c:v>13.413445709457987</c:v>
                </c:pt>
                <c:pt idx="61">
                  <c:v>13.629728885556547</c:v>
                </c:pt>
                <c:pt idx="62">
                  <c:v>13.957110049519835</c:v>
                </c:pt>
                <c:pt idx="63">
                  <c:v>13.263647921153616</c:v>
                </c:pt>
                <c:pt idx="64">
                  <c:v>13.139098681697185</c:v>
                </c:pt>
                <c:pt idx="65">
                  <c:v>13.175327323455459</c:v>
                </c:pt>
              </c:numCache>
            </c:numRef>
          </c:val>
          <c:smooth val="0"/>
          <c:extLst>
            <c:ext xmlns:c16="http://schemas.microsoft.com/office/drawing/2014/chart" uri="{C3380CC4-5D6E-409C-BE32-E72D297353CC}">
              <c16:uniqueId val="{00000004-E32E-47BB-AB44-5E8DE8B1C7A0}"/>
            </c:ext>
          </c:extLst>
        </c:ser>
        <c:ser>
          <c:idx val="5"/>
          <c:order val="5"/>
          <c:tx>
            <c:strRef>
              <c:f>Sheet1!$H$1</c:f>
              <c:strCache>
                <c:ptCount val="1"/>
                <c:pt idx="0">
                  <c:v>Ավանդներ, մինչև 1տ․</c:v>
                </c:pt>
              </c:strCache>
            </c:strRef>
          </c:tx>
          <c:spPr>
            <a:ln w="25400" cap="rnd">
              <a:solidFill>
                <a:srgbClr val="F79646">
                  <a:lumMod val="60000"/>
                  <a:lumOff val="40000"/>
                </a:srgbClr>
              </a:solidFill>
              <a:prstDash val="solid"/>
              <a:round/>
            </a:ln>
            <a:effectLst/>
          </c:spPr>
          <c:marker>
            <c:symbol val="none"/>
          </c:marker>
          <c:cat>
            <c:multiLvlStrRef>
              <c:f>Sheet1!$A$38:$B$103</c:f>
              <c:multiLvlStrCache>
                <c:ptCount val="66"/>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pt idx="65">
                    <c:v>6</c:v>
                  </c:pt>
                </c:lvl>
                <c:lvl>
                  <c:pt idx="0">
                    <c:v>2021</c:v>
                  </c:pt>
                  <c:pt idx="12">
                    <c:v>2022</c:v>
                  </c:pt>
                  <c:pt idx="24">
                    <c:v>2023</c:v>
                  </c:pt>
                  <c:pt idx="36">
                    <c:v>2024</c:v>
                  </c:pt>
                  <c:pt idx="48">
                    <c:v>2025</c:v>
                  </c:pt>
                  <c:pt idx="60">
                    <c:v>2026</c:v>
                  </c:pt>
                </c:lvl>
              </c:multiLvlStrCache>
            </c:multiLvlStrRef>
          </c:cat>
          <c:val>
            <c:numRef>
              <c:f>Sheet1!$H$2:$H$103</c:f>
              <c:numCache>
                <c:formatCode>0.0</c:formatCode>
                <c:ptCount val="66"/>
                <c:pt idx="0">
                  <c:v>8.3431898134069336</c:v>
                </c:pt>
                <c:pt idx="1">
                  <c:v>8.1845675016329267</c:v>
                </c:pt>
                <c:pt idx="2">
                  <c:v>7.7422870380906073</c:v>
                </c:pt>
                <c:pt idx="3">
                  <c:v>8.258143495890641</c:v>
                </c:pt>
                <c:pt idx="4">
                  <c:v>8.336376778540556</c:v>
                </c:pt>
                <c:pt idx="5">
                  <c:v>8.0158616246163845</c:v>
                </c:pt>
                <c:pt idx="6">
                  <c:v>8.3801246219086263</c:v>
                </c:pt>
                <c:pt idx="7">
                  <c:v>8.4231469612643615</c:v>
                </c:pt>
                <c:pt idx="8">
                  <c:v>8.2773469777009598</c:v>
                </c:pt>
                <c:pt idx="9">
                  <c:v>8.4296232065051928</c:v>
                </c:pt>
                <c:pt idx="10">
                  <c:v>8.2398175292211864</c:v>
                </c:pt>
                <c:pt idx="11">
                  <c:v>8.2678332122473623</c:v>
                </c:pt>
                <c:pt idx="12">
                  <c:v>8.3938267500377108</c:v>
                </c:pt>
                <c:pt idx="13">
                  <c:v>8.5417269393471607</c:v>
                </c:pt>
                <c:pt idx="14">
                  <c:v>9.2964040296125265</c:v>
                </c:pt>
                <c:pt idx="15">
                  <c:v>9.210710627688707</c:v>
                </c:pt>
                <c:pt idx="16">
                  <c:v>8.4604892202941926</c:v>
                </c:pt>
                <c:pt idx="17">
                  <c:v>8.1287571727719037</c:v>
                </c:pt>
                <c:pt idx="18">
                  <c:v>8.0137945266574295</c:v>
                </c:pt>
                <c:pt idx="19">
                  <c:v>8.1901082208958194</c:v>
                </c:pt>
                <c:pt idx="20">
                  <c:v>7.6374793222786144</c:v>
                </c:pt>
                <c:pt idx="21">
                  <c:v>8.342940111802875</c:v>
                </c:pt>
                <c:pt idx="22">
                  <c:v>8.5430354373300954</c:v>
                </c:pt>
                <c:pt idx="23">
                  <c:v>8.6201560403887179</c:v>
                </c:pt>
                <c:pt idx="24">
                  <c:v>8.4331002640766979</c:v>
                </c:pt>
                <c:pt idx="25">
                  <c:v>8.2394822623711086</c:v>
                </c:pt>
                <c:pt idx="26">
                  <c:v>8.1887607485517133</c:v>
                </c:pt>
                <c:pt idx="27">
                  <c:v>8.4900096103328373</c:v>
                </c:pt>
                <c:pt idx="28">
                  <c:v>8.2829882240962576</c:v>
                </c:pt>
                <c:pt idx="29">
                  <c:v>8.3546599768074685</c:v>
                </c:pt>
                <c:pt idx="30">
                  <c:v>8.2260766425836156</c:v>
                </c:pt>
                <c:pt idx="31">
                  <c:v>8.5697196129785382</c:v>
                </c:pt>
                <c:pt idx="32">
                  <c:v>8.6042796009191385</c:v>
                </c:pt>
                <c:pt idx="33">
                  <c:v>8.2324457486376996</c:v>
                </c:pt>
                <c:pt idx="34">
                  <c:v>8.5751148906728716</c:v>
                </c:pt>
                <c:pt idx="35">
                  <c:v>8.1553455505810319</c:v>
                </c:pt>
                <c:pt idx="36">
                  <c:v>8.0531299745367129</c:v>
                </c:pt>
                <c:pt idx="37">
                  <c:v>7.8427115715895388</c:v>
                </c:pt>
                <c:pt idx="38">
                  <c:v>8.034297791459613</c:v>
                </c:pt>
                <c:pt idx="39">
                  <c:v>8.433938952219318</c:v>
                </c:pt>
                <c:pt idx="40">
                  <c:v>8.430409859886856</c:v>
                </c:pt>
                <c:pt idx="41">
                  <c:v>8.2522694553656422</c:v>
                </c:pt>
                <c:pt idx="42">
                  <c:v>8.3313667312712294</c:v>
                </c:pt>
                <c:pt idx="43">
                  <c:v>8.1553933935451006</c:v>
                </c:pt>
                <c:pt idx="44">
                  <c:v>8.0044997993279665</c:v>
                </c:pt>
                <c:pt idx="45">
                  <c:v>8.0584137574234731</c:v>
                </c:pt>
                <c:pt idx="46">
                  <c:v>8.0223985298290277</c:v>
                </c:pt>
                <c:pt idx="47">
                  <c:v>8.160990693987765</c:v>
                </c:pt>
                <c:pt idx="48">
                  <c:v>8.1083740403946027</c:v>
                </c:pt>
                <c:pt idx="49">
                  <c:v>7.6905678384503178</c:v>
                </c:pt>
                <c:pt idx="50">
                  <c:v>7.9767278143666722</c:v>
                </c:pt>
                <c:pt idx="51">
                  <c:v>8.1880411253857464</c:v>
                </c:pt>
                <c:pt idx="52">
                  <c:v>7.8569746857992389</c:v>
                </c:pt>
                <c:pt idx="53">
                  <c:v>8.049414257282157</c:v>
                </c:pt>
                <c:pt idx="54">
                  <c:v>7.8943102513264574</c:v>
                </c:pt>
                <c:pt idx="55">
                  <c:v>8.396103656557921</c:v>
                </c:pt>
                <c:pt idx="56">
                  <c:v>7.862985891185688</c:v>
                </c:pt>
                <c:pt idx="57">
                  <c:v>7.9755958178952939</c:v>
                </c:pt>
                <c:pt idx="58">
                  <c:v>8.1327849923414988</c:v>
                </c:pt>
                <c:pt idx="59">
                  <c:v>8.2019302884386747</c:v>
                </c:pt>
                <c:pt idx="60">
                  <c:v>7.8519028089978589</c:v>
                </c:pt>
                <c:pt idx="61">
                  <c:v>7.8089539581040004</c:v>
                </c:pt>
                <c:pt idx="62">
                  <c:v>7.540040880176921</c:v>
                </c:pt>
                <c:pt idx="63">
                  <c:v>7.8107555722422504</c:v>
                </c:pt>
                <c:pt idx="64">
                  <c:v>7.7764231370756898</c:v>
                </c:pt>
                <c:pt idx="65">
                  <c:v>7.8244136215951219</c:v>
                </c:pt>
              </c:numCache>
            </c:numRef>
          </c:val>
          <c:smooth val="0"/>
          <c:extLst>
            <c:ext xmlns:c16="http://schemas.microsoft.com/office/drawing/2014/chart" uri="{C3380CC4-5D6E-409C-BE32-E72D297353CC}">
              <c16:uniqueId val="{00000005-E32E-47BB-AB44-5E8DE8B1C7A0}"/>
            </c:ext>
          </c:extLst>
        </c:ser>
        <c:ser>
          <c:idx val="6"/>
          <c:order val="6"/>
          <c:tx>
            <c:strRef>
              <c:f>Sheet1!$I$1</c:f>
              <c:strCache>
                <c:ptCount val="1"/>
                <c:pt idx="0">
                  <c:v>Վարկեր, 1տ. ավելի</c:v>
                </c:pt>
              </c:strCache>
            </c:strRef>
          </c:tx>
          <c:spPr>
            <a:ln>
              <a:solidFill>
                <a:srgbClr val="9BBB59">
                  <a:lumMod val="75000"/>
                </a:srgbClr>
              </a:solidFill>
            </a:ln>
          </c:spPr>
          <c:marker>
            <c:symbol val="none"/>
          </c:marker>
          <c:cat>
            <c:multiLvlStrRef>
              <c:f>Sheet1!$A$38:$B$103</c:f>
              <c:multiLvlStrCache>
                <c:ptCount val="66"/>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pt idx="60">
                    <c:v>1</c:v>
                  </c:pt>
                  <c:pt idx="61">
                    <c:v>2</c:v>
                  </c:pt>
                  <c:pt idx="62">
                    <c:v>3</c:v>
                  </c:pt>
                  <c:pt idx="63">
                    <c:v>4</c:v>
                  </c:pt>
                  <c:pt idx="64">
                    <c:v>5</c:v>
                  </c:pt>
                  <c:pt idx="65">
                    <c:v>6</c:v>
                  </c:pt>
                </c:lvl>
                <c:lvl>
                  <c:pt idx="0">
                    <c:v>2021</c:v>
                  </c:pt>
                  <c:pt idx="12">
                    <c:v>2022</c:v>
                  </c:pt>
                  <c:pt idx="24">
                    <c:v>2023</c:v>
                  </c:pt>
                  <c:pt idx="36">
                    <c:v>2024</c:v>
                  </c:pt>
                  <c:pt idx="48">
                    <c:v>2025</c:v>
                  </c:pt>
                  <c:pt idx="60">
                    <c:v>2026</c:v>
                  </c:pt>
                </c:lvl>
              </c:multiLvlStrCache>
            </c:multiLvlStrRef>
          </c:cat>
          <c:val>
            <c:numRef>
              <c:f>Sheet1!$I$38:$I$103</c:f>
              <c:numCache>
                <c:formatCode>0.0</c:formatCode>
                <c:ptCount val="66"/>
                <c:pt idx="0">
                  <c:v>12.749023813084914</c:v>
                </c:pt>
                <c:pt idx="1">
                  <c:v>12.840711578443582</c:v>
                </c:pt>
                <c:pt idx="2">
                  <c:v>12.869949938358154</c:v>
                </c:pt>
                <c:pt idx="3">
                  <c:v>12.5071653844848</c:v>
                </c:pt>
                <c:pt idx="4">
                  <c:v>12.75873142171114</c:v>
                </c:pt>
                <c:pt idx="5">
                  <c:v>12.714417822560302</c:v>
                </c:pt>
                <c:pt idx="6">
                  <c:v>12.961543969124437</c:v>
                </c:pt>
                <c:pt idx="7">
                  <c:v>13.006337073170657</c:v>
                </c:pt>
                <c:pt idx="8">
                  <c:v>12.822964470987577</c:v>
                </c:pt>
                <c:pt idx="9">
                  <c:v>12.673193257199738</c:v>
                </c:pt>
                <c:pt idx="10">
                  <c:v>12.802664462107185</c:v>
                </c:pt>
                <c:pt idx="11">
                  <c:v>12.178339035968762</c:v>
                </c:pt>
                <c:pt idx="12">
                  <c:v>13.100047231115809</c:v>
                </c:pt>
                <c:pt idx="13">
                  <c:v>13.106444709635548</c:v>
                </c:pt>
                <c:pt idx="14">
                  <c:v>13.541265546684542</c:v>
                </c:pt>
                <c:pt idx="15">
                  <c:v>13.636449032963466</c:v>
                </c:pt>
                <c:pt idx="16">
                  <c:v>13.781091502389664</c:v>
                </c:pt>
                <c:pt idx="17">
                  <c:v>13.56729080324285</c:v>
                </c:pt>
                <c:pt idx="18">
                  <c:v>13.797200180599493</c:v>
                </c:pt>
                <c:pt idx="19">
                  <c:v>13.755344702075888</c:v>
                </c:pt>
                <c:pt idx="20">
                  <c:v>14.125649771225644</c:v>
                </c:pt>
                <c:pt idx="21">
                  <c:v>14.053736765033349</c:v>
                </c:pt>
                <c:pt idx="22">
                  <c:v>14.510685134381557</c:v>
                </c:pt>
                <c:pt idx="23">
                  <c:v>14.449935538652094</c:v>
                </c:pt>
                <c:pt idx="24">
                  <c:v>15.093632338319845</c:v>
                </c:pt>
                <c:pt idx="25">
                  <c:v>15.118151443950016</c:v>
                </c:pt>
                <c:pt idx="26">
                  <c:v>14.854394736672436</c:v>
                </c:pt>
                <c:pt idx="27">
                  <c:v>14.600576738784303</c:v>
                </c:pt>
                <c:pt idx="28">
                  <c:v>14.792740569200316</c:v>
                </c:pt>
                <c:pt idx="29">
                  <c:v>14.636406598355801</c:v>
                </c:pt>
                <c:pt idx="30">
                  <c:v>15.177906636906426</c:v>
                </c:pt>
                <c:pt idx="31">
                  <c:v>15.077989241967034</c:v>
                </c:pt>
                <c:pt idx="32">
                  <c:v>14.762753247485676</c:v>
                </c:pt>
                <c:pt idx="33">
                  <c:v>14.565054043040073</c:v>
                </c:pt>
                <c:pt idx="34">
                  <c:v>14.967138820609486</c:v>
                </c:pt>
                <c:pt idx="35">
                  <c:v>14.60569419655617</c:v>
                </c:pt>
                <c:pt idx="36">
                  <c:v>15.034765877009091</c:v>
                </c:pt>
                <c:pt idx="37">
                  <c:v>15.050819459519163</c:v>
                </c:pt>
                <c:pt idx="38">
                  <c:v>15.176359911765402</c:v>
                </c:pt>
                <c:pt idx="39">
                  <c:v>15.325369623042523</c:v>
                </c:pt>
                <c:pt idx="40">
                  <c:v>15.025939127388952</c:v>
                </c:pt>
                <c:pt idx="41">
                  <c:v>14.841275506490986</c:v>
                </c:pt>
                <c:pt idx="42">
                  <c:v>14.902033787916332</c:v>
                </c:pt>
                <c:pt idx="43">
                  <c:v>15.199670916600445</c:v>
                </c:pt>
                <c:pt idx="44">
                  <c:v>15.028614446473449</c:v>
                </c:pt>
                <c:pt idx="45">
                  <c:v>14.673210683825696</c:v>
                </c:pt>
                <c:pt idx="46">
                  <c:v>14.83410551824513</c:v>
                </c:pt>
                <c:pt idx="47">
                  <c:v>14.597805713209913</c:v>
                </c:pt>
                <c:pt idx="48">
                  <c:v>15.712493424569367</c:v>
                </c:pt>
                <c:pt idx="49">
                  <c:v>15.274015531512989</c:v>
                </c:pt>
                <c:pt idx="50">
                  <c:v>15.344944527974857</c:v>
                </c:pt>
                <c:pt idx="51">
                  <c:v>15.443132207470205</c:v>
                </c:pt>
                <c:pt idx="52">
                  <c:v>15.243140261630327</c:v>
                </c:pt>
                <c:pt idx="53">
                  <c:v>15.076227000886634</c:v>
                </c:pt>
                <c:pt idx="54">
                  <c:v>15.233409457238826</c:v>
                </c:pt>
                <c:pt idx="55">
                  <c:v>15.369410706755277</c:v>
                </c:pt>
                <c:pt idx="56">
                  <c:v>15.794747043184458</c:v>
                </c:pt>
                <c:pt idx="57">
                  <c:v>15.792372189850944</c:v>
                </c:pt>
                <c:pt idx="58">
                  <c:v>15.446481493353582</c:v>
                </c:pt>
                <c:pt idx="59">
                  <c:v>15.371193070362189</c:v>
                </c:pt>
                <c:pt idx="60">
                  <c:v>15.958457049410409</c:v>
                </c:pt>
                <c:pt idx="61">
                  <c:v>15.84220543305813</c:v>
                </c:pt>
                <c:pt idx="62">
                  <c:v>15.517514723076385</c:v>
                </c:pt>
                <c:pt idx="63">
                  <c:v>15.277507415732117</c:v>
                </c:pt>
                <c:pt idx="64">
                  <c:v>15.156802969015994</c:v>
                </c:pt>
                <c:pt idx="65">
                  <c:v>15.130305943024679</c:v>
                </c:pt>
              </c:numCache>
            </c:numRef>
          </c:val>
          <c:smooth val="0"/>
          <c:extLst>
            <c:ext xmlns:c16="http://schemas.microsoft.com/office/drawing/2014/chart" uri="{C3380CC4-5D6E-409C-BE32-E72D297353CC}">
              <c16:uniqueId val="{00000006-E32E-47BB-AB44-5E8DE8B1C7A0}"/>
            </c:ext>
          </c:extLst>
        </c:ser>
        <c:dLbls>
          <c:showLegendKey val="0"/>
          <c:showVal val="0"/>
          <c:showCatName val="0"/>
          <c:showSerName val="0"/>
          <c:showPercent val="0"/>
          <c:showBubbleSize val="0"/>
        </c:dLbls>
        <c:smooth val="0"/>
        <c:axId val="340183680"/>
        <c:axId val="340275584"/>
      </c:lineChart>
      <c:catAx>
        <c:axId val="3401836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vert="horz" anchor="ctr" anchorCtr="0"/>
          <a:lstStyle/>
          <a:p>
            <a:pPr>
              <a:defRPr sz="900">
                <a:ln>
                  <a:noFill/>
                </a:ln>
                <a:solidFill>
                  <a:schemeClr val="tx1">
                    <a:lumMod val="75000"/>
                    <a:lumOff val="25000"/>
                  </a:schemeClr>
                </a:solidFill>
              </a:defRPr>
            </a:pPr>
            <a:endParaRPr lang="en-US"/>
          </a:p>
        </c:txPr>
        <c:crossAx val="340275584"/>
        <c:crosses val="autoZero"/>
        <c:auto val="1"/>
        <c:lblAlgn val="ctr"/>
        <c:lblOffset val="100"/>
        <c:noMultiLvlLbl val="0"/>
      </c:catAx>
      <c:valAx>
        <c:axId val="340275584"/>
        <c:scaling>
          <c:orientation val="minMax"/>
          <c:max val="18"/>
          <c:min val="4"/>
        </c:scaling>
        <c:delete val="0"/>
        <c:axPos val="l"/>
        <c:majorGridlines>
          <c:spPr>
            <a:ln>
              <a:solidFill>
                <a:sysClr val="window" lastClr="FFFFFF">
                  <a:lumMod val="85000"/>
                </a:sysClr>
              </a:solidFill>
            </a:ln>
          </c:spPr>
        </c:majorGridlines>
        <c:numFmt formatCode="0" sourceLinked="0"/>
        <c:majorTickMark val="none"/>
        <c:minorTickMark val="none"/>
        <c:tickLblPos val="nextTo"/>
        <c:spPr>
          <a:noFill/>
          <a:ln>
            <a:noFill/>
          </a:ln>
          <a:effectLst/>
        </c:spPr>
        <c:txPr>
          <a:bodyPr rot="-60000000" vert="horz"/>
          <a:lstStyle/>
          <a:p>
            <a:pPr>
              <a:defRPr sz="900" baseline="0">
                <a:solidFill>
                  <a:schemeClr val="tx1">
                    <a:lumMod val="65000"/>
                    <a:lumOff val="35000"/>
                  </a:schemeClr>
                </a:solidFill>
              </a:defRPr>
            </a:pPr>
            <a:endParaRPr lang="en-US"/>
          </a:p>
        </c:txPr>
        <c:crossAx val="340183680"/>
        <c:crosses val="autoZero"/>
        <c:crossBetween val="between"/>
      </c:valAx>
      <c:spPr>
        <a:solidFill>
          <a:schemeClr val="bg1"/>
        </a:solidFill>
        <a:ln>
          <a:noFill/>
        </a:ln>
        <a:effectLst/>
      </c:spPr>
    </c:plotArea>
    <c:legend>
      <c:legendPos val="b"/>
      <c:layout>
        <c:manualLayout>
          <c:xMode val="edge"/>
          <c:yMode val="edge"/>
          <c:x val="7.5977836103820343E-3"/>
          <c:y val="0.86324699918839254"/>
          <c:w val="0.97789629629629626"/>
          <c:h val="0.13675300081160741"/>
        </c:manualLayout>
      </c:layout>
      <c:overlay val="0"/>
      <c:spPr>
        <a:noFill/>
        <a:ln>
          <a:noFill/>
        </a:ln>
        <a:effectLst/>
      </c:spPr>
      <c:txPr>
        <a:bodyPr rot="0" vert="horz"/>
        <a:lstStyle/>
        <a:p>
          <a:pPr>
            <a:defRPr sz="800" baseline="0">
              <a:solidFill>
                <a:schemeClr val="tx1">
                  <a:lumMod val="65000"/>
                  <a:lumOff val="35000"/>
                </a:schemeClr>
              </a:solidFill>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78564740487403E-2"/>
          <c:y val="5.2830294608895816E-2"/>
          <c:w val="0.88179264549735947"/>
          <c:h val="0.67839043170183289"/>
        </c:manualLayout>
      </c:layout>
      <c:barChart>
        <c:barDir val="col"/>
        <c:grouping val="stacked"/>
        <c:varyColors val="0"/>
        <c:ser>
          <c:idx val="1"/>
          <c:order val="0"/>
          <c:tx>
            <c:strRef>
              <c:f>Sheet1!$A$2</c:f>
              <c:strCache>
                <c:ptCount val="1"/>
                <c:pt idx="0">
                  <c:v>Արտահանում</c:v>
                </c:pt>
              </c:strCache>
            </c:strRef>
          </c:tx>
          <c:spPr>
            <a:solidFill>
              <a:srgbClr val="1F497D">
                <a:lumMod val="75000"/>
              </a:srgbClr>
            </a:solidFill>
            <a:ln>
              <a:noFill/>
            </a:ln>
            <a:effectLst/>
          </c:spPr>
          <c:invertIfNegative val="0"/>
          <c:dLbls>
            <c:delete val="1"/>
          </c:dLbls>
          <c:cat>
            <c:strRef>
              <c:f>Sheet1!$B$1:$K$1</c:f>
              <c:strCache>
                <c:ptCount val="5"/>
                <c:pt idx="0">
                  <c:v>2022</c:v>
                </c:pt>
                <c:pt idx="1">
                  <c:v>2023</c:v>
                </c:pt>
                <c:pt idx="2">
                  <c:v>2024</c:v>
                </c:pt>
                <c:pt idx="3">
                  <c:v>2025</c:v>
                </c:pt>
                <c:pt idx="4">
                  <c:v>2026</c:v>
                </c:pt>
              </c:strCache>
            </c:strRef>
          </c:cat>
          <c:val>
            <c:numRef>
              <c:f>Sheet1!$B$2:$K$2</c:f>
              <c:numCache>
                <c:formatCode>0</c:formatCode>
                <c:ptCount val="5"/>
                <c:pt idx="0">
                  <c:v>1890.6431293906001</c:v>
                </c:pt>
                <c:pt idx="1">
                  <c:v>3381.5271119505956</c:v>
                </c:pt>
                <c:pt idx="2">
                  <c:v>7956.5346920263082</c:v>
                </c:pt>
                <c:pt idx="3">
                  <c:v>3676.8519543000962</c:v>
                </c:pt>
                <c:pt idx="4">
                  <c:v>3431.317</c:v>
                </c:pt>
              </c:numCache>
            </c:numRef>
          </c:val>
          <c:extLst>
            <c:ext xmlns:c16="http://schemas.microsoft.com/office/drawing/2014/chart" uri="{C3380CC4-5D6E-409C-BE32-E72D297353CC}">
              <c16:uniqueId val="{00000000-727C-466B-8B96-B8E190737C52}"/>
            </c:ext>
          </c:extLst>
        </c:ser>
        <c:ser>
          <c:idx val="0"/>
          <c:order val="1"/>
          <c:tx>
            <c:strRef>
              <c:f>Sheet1!$A$3</c:f>
              <c:strCache>
                <c:ptCount val="1"/>
                <c:pt idx="0">
                  <c:v>Ներմուծում (CIF)</c:v>
                </c:pt>
              </c:strCache>
            </c:strRef>
          </c:tx>
          <c:spPr>
            <a:solidFill>
              <a:srgbClr val="4F81BD">
                <a:lumMod val="60000"/>
                <a:lumOff val="40000"/>
              </a:srgbClr>
            </a:solidFill>
            <a:ln>
              <a:noFill/>
            </a:ln>
            <a:effectLst/>
          </c:spPr>
          <c:invertIfNegative val="0"/>
          <c:dLbls>
            <c:delete val="1"/>
          </c:dLbls>
          <c:cat>
            <c:strRef>
              <c:f>Sheet1!$B$1:$K$1</c:f>
              <c:strCache>
                <c:ptCount val="5"/>
                <c:pt idx="0">
                  <c:v>2022</c:v>
                </c:pt>
                <c:pt idx="1">
                  <c:v>2023</c:v>
                </c:pt>
                <c:pt idx="2">
                  <c:v>2024</c:v>
                </c:pt>
                <c:pt idx="3">
                  <c:v>2025</c:v>
                </c:pt>
                <c:pt idx="4">
                  <c:v>2026</c:v>
                </c:pt>
              </c:strCache>
            </c:strRef>
          </c:cat>
          <c:val>
            <c:numRef>
              <c:f>Sheet1!$B$3:$K$3</c:f>
              <c:numCache>
                <c:formatCode>0</c:formatCode>
                <c:ptCount val="5"/>
                <c:pt idx="0">
                  <c:v>-3256.785120510011</c:v>
                </c:pt>
                <c:pt idx="1">
                  <c:v>-5622.7701008000186</c:v>
                </c:pt>
                <c:pt idx="2">
                  <c:v>-9635.4966206631125</c:v>
                </c:pt>
                <c:pt idx="3">
                  <c:v>-5903.1677424433046</c:v>
                </c:pt>
                <c:pt idx="4">
                  <c:v>-6139.6217000000006</c:v>
                </c:pt>
              </c:numCache>
            </c:numRef>
          </c:val>
          <c:extLst>
            <c:ext xmlns:c16="http://schemas.microsoft.com/office/drawing/2014/chart" uri="{C3380CC4-5D6E-409C-BE32-E72D297353CC}">
              <c16:uniqueId val="{00000001-727C-466B-8B96-B8E190737C52}"/>
            </c:ext>
          </c:extLst>
        </c:ser>
        <c:dLbls>
          <c:dLblPos val="inEnd"/>
          <c:showLegendKey val="0"/>
          <c:showVal val="1"/>
          <c:showCatName val="0"/>
          <c:showSerName val="0"/>
          <c:showPercent val="0"/>
          <c:showBubbleSize val="0"/>
        </c:dLbls>
        <c:gapWidth val="150"/>
        <c:overlap val="100"/>
        <c:axId val="115593984"/>
        <c:axId val="115595520"/>
      </c:barChart>
      <c:lineChart>
        <c:grouping val="standard"/>
        <c:varyColors val="0"/>
        <c:ser>
          <c:idx val="2"/>
          <c:order val="2"/>
          <c:tx>
            <c:strRef>
              <c:f>Sheet1!$A$4</c:f>
              <c:strCache>
                <c:ptCount val="1"/>
                <c:pt idx="0">
                  <c:v>Առևտրային հաշվեկշիռ</c:v>
                </c:pt>
              </c:strCache>
            </c:strRef>
          </c:tx>
          <c:spPr>
            <a:ln w="28575" cap="rnd">
              <a:solidFill>
                <a:srgbClr val="4F81BD">
                  <a:lumMod val="75000"/>
                </a:srgbClr>
              </a:solidFill>
              <a:round/>
            </a:ln>
            <a:effectLst/>
          </c:spPr>
          <c:marker>
            <c:symbol val="circle"/>
            <c:size val="5"/>
            <c:spPr>
              <a:solidFill>
                <a:srgbClr val="4F81BD">
                  <a:lumMod val="75000"/>
                </a:srgbClr>
              </a:solidFill>
              <a:ln w="9525">
                <a:solidFill>
                  <a:srgbClr val="4F81BD">
                    <a:lumMod val="75000"/>
                  </a:srgbClr>
                </a:solidFill>
              </a:ln>
              <a:effectLst/>
            </c:spPr>
          </c:marker>
          <c:dLbls>
            <c:dLbl>
              <c:idx val="0"/>
              <c:layout>
                <c:manualLayout>
                  <c:x val="-3.7553682982609631E-2"/>
                  <c:y val="4.60063897763577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27C-466B-8B96-B8E190737C52}"/>
                </c:ext>
              </c:extLst>
            </c:dLbl>
            <c:dLbl>
              <c:idx val="1"/>
              <c:layout>
                <c:manualLayout>
                  <c:x val="-3.8440545808966858E-2"/>
                  <c:y val="4.600638977635782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27C-466B-8B96-B8E190737C52}"/>
                </c:ext>
              </c:extLst>
            </c:dLbl>
            <c:dLbl>
              <c:idx val="2"/>
              <c:layout>
                <c:manualLayout>
                  <c:x val="-3.5906432748538011E-2"/>
                  <c:y val="4.60063897763577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27C-466B-8B96-B8E190737C52}"/>
                </c:ext>
              </c:extLst>
            </c:dLbl>
            <c:dLbl>
              <c:idx val="3"/>
              <c:layout>
                <c:manualLayout>
                  <c:x val="-3.5906432748538157E-2"/>
                  <c:y val="5.6656017039403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27C-466B-8B96-B8E190737C52}"/>
                </c:ext>
              </c:extLst>
            </c:dLbl>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Sheet1!$B$1:$K$1</c:f>
              <c:strCache>
                <c:ptCount val="5"/>
                <c:pt idx="0">
                  <c:v>2022</c:v>
                </c:pt>
                <c:pt idx="1">
                  <c:v>2023</c:v>
                </c:pt>
                <c:pt idx="2">
                  <c:v>2024</c:v>
                </c:pt>
                <c:pt idx="3">
                  <c:v>2025</c:v>
                </c:pt>
                <c:pt idx="4">
                  <c:v>2026</c:v>
                </c:pt>
              </c:strCache>
            </c:strRef>
          </c:cat>
          <c:val>
            <c:numRef>
              <c:f>Sheet1!$B$4:$K$4</c:f>
              <c:numCache>
                <c:formatCode>0</c:formatCode>
                <c:ptCount val="5"/>
                <c:pt idx="0">
                  <c:v>-1366.1419911194109</c:v>
                </c:pt>
                <c:pt idx="1">
                  <c:v>-2241.242988849423</c:v>
                </c:pt>
                <c:pt idx="2">
                  <c:v>-1678.9619286368043</c:v>
                </c:pt>
                <c:pt idx="3">
                  <c:v>-2226.3157881432085</c:v>
                </c:pt>
                <c:pt idx="4">
                  <c:v>-2708.3047000000006</c:v>
                </c:pt>
              </c:numCache>
            </c:numRef>
          </c:val>
          <c:smooth val="0"/>
          <c:extLst>
            <c:ext xmlns:c16="http://schemas.microsoft.com/office/drawing/2014/chart" uri="{C3380CC4-5D6E-409C-BE32-E72D297353CC}">
              <c16:uniqueId val="{00000006-727C-466B-8B96-B8E190737C52}"/>
            </c:ext>
          </c:extLst>
        </c:ser>
        <c:dLbls>
          <c:showLegendKey val="0"/>
          <c:showVal val="1"/>
          <c:showCatName val="0"/>
          <c:showSerName val="0"/>
          <c:showPercent val="0"/>
          <c:showBubbleSize val="0"/>
        </c:dLbls>
        <c:marker val="1"/>
        <c:smooth val="0"/>
        <c:axId val="115593984"/>
        <c:axId val="115595520"/>
      </c:lineChart>
      <c:catAx>
        <c:axId val="1155939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595520"/>
        <c:crosses val="autoZero"/>
        <c:auto val="0"/>
        <c:lblAlgn val="ctr"/>
        <c:lblOffset val="100"/>
        <c:noMultiLvlLbl val="0"/>
      </c:catAx>
      <c:valAx>
        <c:axId val="11559552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593984"/>
        <c:crosses val="autoZero"/>
        <c:crossBetween val="between"/>
      </c:valAx>
      <c:spPr>
        <a:noFill/>
        <a:ln>
          <a:noFill/>
        </a:ln>
        <a:effectLst/>
      </c:spPr>
    </c:plotArea>
    <c:legend>
      <c:legendPos val="b"/>
      <c:layout>
        <c:manualLayout>
          <c:xMode val="edge"/>
          <c:yMode val="edge"/>
          <c:x val="4.0380604534200115E-2"/>
          <c:y val="0.85019996183301128"/>
          <c:w val="0.93927855711422847"/>
          <c:h val="0.13985699625466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635549068997656"/>
        </c:manualLayout>
      </c:layout>
      <c:lineChart>
        <c:grouping val="standard"/>
        <c:varyColors val="0"/>
        <c:ser>
          <c:idx val="0"/>
          <c:order val="0"/>
          <c:tx>
            <c:strRef>
              <c:f>Sheet1!$A$2</c:f>
              <c:strCache>
                <c:ptCount val="1"/>
                <c:pt idx="0">
                  <c:v>12 ամսյա փոփոխություն, % </c:v>
                </c:pt>
              </c:strCache>
            </c:strRef>
          </c:tx>
          <c:spPr>
            <a:ln w="28575" cap="rnd">
              <a:solidFill>
                <a:srgbClr val="4F81BD">
                  <a:lumMod val="75000"/>
                </a:srgbClr>
              </a:solidFill>
              <a:round/>
            </a:ln>
            <a:effectLst/>
          </c:spPr>
          <c:marker>
            <c:symbol val="circle"/>
            <c:size val="5"/>
            <c:spPr>
              <a:solidFill>
                <a:srgbClr val="4F81BD">
                  <a:lumMod val="75000"/>
                </a:srgbClr>
              </a:solidFill>
              <a:ln w="9525">
                <a:solidFill>
                  <a:srgbClr val="4F81BD">
                    <a:lumMod val="75000"/>
                  </a:srgbClr>
                </a:solidFill>
              </a:ln>
              <a:effectLst/>
            </c:spPr>
          </c:marker>
          <c:dLbls>
            <c:dLbl>
              <c:idx val="2"/>
              <c:layout>
                <c:manualLayout>
                  <c:x val="-3.5337440825939051E-2"/>
                  <c:y val="3.18221451132167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9B0-4FF5-8016-B7DD90B85C09}"/>
                </c:ext>
              </c:extLst>
            </c:dLbl>
            <c:dLbl>
              <c:idx val="4"/>
              <c:layout>
                <c:manualLayout>
                  <c:x val="-7.0906423706100188E-2"/>
                  <c:y val="4.34320921749188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9B0-4FF5-8016-B7DD90B85C09}"/>
                </c:ext>
              </c:extLst>
            </c:dLbl>
            <c:spPr>
              <a:noFill/>
              <a:ln w="25400">
                <a:noFill/>
              </a:ln>
            </c:spPr>
            <c:txPr>
              <a:bodyPr wrap="square" lIns="38100" tIns="19050" rIns="38100" bIns="19050" anchor="ctr">
                <a:spAutoFit/>
              </a:bodyPr>
              <a:lstStyle/>
              <a:p>
                <a:pPr>
                  <a:defRPr sz="800" b="1">
                    <a:solidFill>
                      <a:schemeClr val="accent1">
                        <a:lumMod val="75000"/>
                      </a:schemeClr>
                    </a:solidFill>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1</c:v>
                </c:pt>
                <c:pt idx="1">
                  <c:v>2</c:v>
                </c:pt>
                <c:pt idx="2">
                  <c:v>3</c:v>
                </c:pt>
                <c:pt idx="3">
                  <c:v>4</c:v>
                </c:pt>
                <c:pt idx="4">
                  <c:v>5</c:v>
                </c:pt>
                <c:pt idx="5">
                  <c:v>6</c:v>
                </c:pt>
              </c:strCache>
            </c:strRef>
          </c:cat>
          <c:val>
            <c:numRef>
              <c:f>Sheet1!$B$2:$G$2</c:f>
              <c:numCache>
                <c:formatCode>0.0</c:formatCode>
                <c:ptCount val="6"/>
                <c:pt idx="0">
                  <c:v>-6.5999999999999943</c:v>
                </c:pt>
                <c:pt idx="1">
                  <c:v>41.099999999999994</c:v>
                </c:pt>
                <c:pt idx="2">
                  <c:v>-7.9000000000000057</c:v>
                </c:pt>
                <c:pt idx="3">
                  <c:v>-22.799999999999997</c:v>
                </c:pt>
                <c:pt idx="4">
                  <c:v>-10.299999999999997</c:v>
                </c:pt>
                <c:pt idx="5">
                  <c:v>-20.5</c:v>
                </c:pt>
              </c:numCache>
            </c:numRef>
          </c:val>
          <c:smooth val="0"/>
          <c:extLst>
            <c:ext xmlns:c16="http://schemas.microsoft.com/office/drawing/2014/chart" uri="{C3380CC4-5D6E-409C-BE32-E72D297353CC}">
              <c16:uniqueId val="{00000002-B9B0-4FF5-8016-B7DD90B85C09}"/>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spPr>
              <a:noFill/>
              <a:ln w="25400">
                <a:noFill/>
              </a:ln>
            </c:spPr>
            <c:txPr>
              <a:bodyPr wrap="square" lIns="38100" tIns="19050" rIns="38100" bIns="19050" anchor="ctr">
                <a:spAutoFit/>
              </a:bodyPr>
              <a:lstStyle/>
              <a:p>
                <a:pPr>
                  <a:defRPr sz="800" b="1">
                    <a:solidFill>
                      <a:schemeClr val="accent2">
                        <a:lumMod val="50000"/>
                      </a:schemeClr>
                    </a:solidFill>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1</c:v>
                </c:pt>
                <c:pt idx="1">
                  <c:v>2</c:v>
                </c:pt>
                <c:pt idx="2">
                  <c:v>3</c:v>
                </c:pt>
                <c:pt idx="3">
                  <c:v>4</c:v>
                </c:pt>
                <c:pt idx="4">
                  <c:v>5</c:v>
                </c:pt>
                <c:pt idx="5">
                  <c:v>6</c:v>
                </c:pt>
              </c:strCache>
            </c:strRef>
          </c:cat>
          <c:val>
            <c:numRef>
              <c:f>Sheet1!$B$3:$G$3</c:f>
              <c:numCache>
                <c:formatCode>0.0</c:formatCode>
                <c:ptCount val="6"/>
                <c:pt idx="0">
                  <c:v>-6.6190409344569048</c:v>
                </c:pt>
                <c:pt idx="1">
                  <c:v>16.687037389291916</c:v>
                </c:pt>
                <c:pt idx="2">
                  <c:v>7.2051028743480146</c:v>
                </c:pt>
                <c:pt idx="3">
                  <c:v>-1.7239775230602135</c:v>
                </c:pt>
                <c:pt idx="4">
                  <c:v>-3.4176094500738827</c:v>
                </c:pt>
                <c:pt idx="5">
                  <c:v>-6.6778582551208103</c:v>
                </c:pt>
              </c:numCache>
            </c:numRef>
          </c:val>
          <c:smooth val="0"/>
          <c:extLst>
            <c:ext xmlns:c16="http://schemas.microsoft.com/office/drawing/2014/chart" uri="{C3380CC4-5D6E-409C-BE32-E72D297353CC}">
              <c16:uniqueId val="{00000003-B9B0-4FF5-8016-B7DD90B85C09}"/>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ysClr val="window" lastClr="FFFFFF">
                  <a:lumMod val="85000"/>
                </a:sysClr>
              </a:solidFill>
              <a:round/>
            </a:ln>
            <a:effectLst/>
          </c:spPr>
        </c:majorGridlines>
        <c:numFmt formatCode="0.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2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569818842754E-2"/>
          <c:y val="0.82180156871582133"/>
          <c:w val="0.97802156363752013"/>
          <c:h val="0.15998760137581713"/>
        </c:manualLayout>
      </c:layout>
      <c:overlay val="0"/>
      <c:spPr>
        <a:noFill/>
        <a:ln w="25400">
          <a:noFill/>
        </a:ln>
      </c:spPr>
      <c:txPr>
        <a:bodyPr rot="0" spcFirstLastPara="1" vertOverflow="ellipsis" vert="horz" wrap="square" anchor="ctr" anchorCtr="1"/>
        <a:lstStyle/>
        <a:p>
          <a:pPr>
            <a:defRPr sz="80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Գնաճը գործընկեր երկրներում, 12 ամսյա գնաճ, </a:t>
            </a:r>
            <a:r>
              <a:rPr lang="en-US" sz="1000"/>
              <a:t>%</a:t>
            </a:r>
          </a:p>
        </c:rich>
      </c:tx>
      <c:layout>
        <c:manualLayout>
          <c:xMode val="edge"/>
          <c:yMode val="edge"/>
          <c:x val="0.13896713615023473"/>
          <c:y val="3.1646556125876756E-3"/>
        </c:manualLayout>
      </c:layout>
      <c:overlay val="0"/>
      <c:spPr>
        <a:noFill/>
        <a:ln w="25400">
          <a:noFill/>
        </a:ln>
      </c:spPr>
    </c:title>
    <c:autoTitleDeleted val="0"/>
    <c:plotArea>
      <c:layout>
        <c:manualLayout>
          <c:layoutTarget val="inner"/>
          <c:xMode val="edge"/>
          <c:yMode val="edge"/>
          <c:x val="0.10738889071920403"/>
          <c:y val="0.19806025100104807"/>
          <c:w val="0.85425685544537056"/>
          <c:h val="0.49774367794469376"/>
        </c:manualLayout>
      </c:layout>
      <c:lineChart>
        <c:grouping val="standard"/>
        <c:varyColors val="0"/>
        <c:ser>
          <c:idx val="0"/>
          <c:order val="0"/>
          <c:tx>
            <c:strRef>
              <c:f>Sheet1!$C$1</c:f>
              <c:strCache>
                <c:ptCount val="1"/>
                <c:pt idx="0">
                  <c:v>ԱՄՆ</c:v>
                </c:pt>
              </c:strCache>
            </c:strRef>
          </c:tx>
          <c:spPr>
            <a:ln w="22225" cap="rnd">
              <a:solidFill>
                <a:srgbClr val="44546A"/>
              </a:solidFill>
              <a:round/>
            </a:ln>
            <a:effectLst/>
          </c:spPr>
          <c:marker>
            <c:symbol val="none"/>
          </c:marker>
          <c:cat>
            <c:multiLvlStrRef>
              <c:f>Sheet1!$A$14:$B$103</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Sheet1!$C$2:$C$103</c:f>
              <c:numCache>
                <c:formatCode>0.0</c:formatCode>
                <c:ptCount val="54"/>
                <c:pt idx="0">
                  <c:v>7.5</c:v>
                </c:pt>
                <c:pt idx="1">
                  <c:v>7.9</c:v>
                </c:pt>
                <c:pt idx="2">
                  <c:v>8.5</c:v>
                </c:pt>
                <c:pt idx="3">
                  <c:v>8.3000000000000007</c:v>
                </c:pt>
                <c:pt idx="4">
                  <c:v>8.6</c:v>
                </c:pt>
                <c:pt idx="5">
                  <c:v>9.1</c:v>
                </c:pt>
                <c:pt idx="6">
                  <c:v>8.5</c:v>
                </c:pt>
                <c:pt idx="7">
                  <c:v>8.3000000000000007</c:v>
                </c:pt>
                <c:pt idx="8">
                  <c:v>8.1999999999999993</c:v>
                </c:pt>
                <c:pt idx="9">
                  <c:v>7.7</c:v>
                </c:pt>
                <c:pt idx="10">
                  <c:v>7.1</c:v>
                </c:pt>
                <c:pt idx="11">
                  <c:v>6.5</c:v>
                </c:pt>
                <c:pt idx="12">
                  <c:v>6.4</c:v>
                </c:pt>
                <c:pt idx="13">
                  <c:v>6</c:v>
                </c:pt>
                <c:pt idx="14">
                  <c:v>5</c:v>
                </c:pt>
                <c:pt idx="15">
                  <c:v>4.9000000000000004</c:v>
                </c:pt>
                <c:pt idx="16">
                  <c:v>4.05</c:v>
                </c:pt>
                <c:pt idx="17">
                  <c:v>2.97</c:v>
                </c:pt>
                <c:pt idx="18">
                  <c:v>3.2</c:v>
                </c:pt>
                <c:pt idx="19">
                  <c:v>3.7</c:v>
                </c:pt>
                <c:pt idx="20">
                  <c:v>3.7</c:v>
                </c:pt>
                <c:pt idx="21">
                  <c:v>3.2</c:v>
                </c:pt>
                <c:pt idx="22">
                  <c:v>3.1</c:v>
                </c:pt>
                <c:pt idx="23">
                  <c:v>3.4</c:v>
                </c:pt>
                <c:pt idx="24">
                  <c:v>3.1</c:v>
                </c:pt>
                <c:pt idx="25">
                  <c:v>3.2</c:v>
                </c:pt>
                <c:pt idx="26">
                  <c:v>3.5</c:v>
                </c:pt>
                <c:pt idx="27">
                  <c:v>3.4</c:v>
                </c:pt>
                <c:pt idx="28">
                  <c:v>3.3</c:v>
                </c:pt>
                <c:pt idx="29">
                  <c:v>3</c:v>
                </c:pt>
                <c:pt idx="30">
                  <c:v>2.9</c:v>
                </c:pt>
                <c:pt idx="31">
                  <c:v>2.5</c:v>
                </c:pt>
                <c:pt idx="32">
                  <c:v>2.4</c:v>
                </c:pt>
                <c:pt idx="33" formatCode="General">
                  <c:v>2.6</c:v>
                </c:pt>
                <c:pt idx="34" formatCode="General">
                  <c:v>2.7</c:v>
                </c:pt>
                <c:pt idx="35" formatCode="General">
                  <c:v>2.9</c:v>
                </c:pt>
                <c:pt idx="36">
                  <c:v>3</c:v>
                </c:pt>
                <c:pt idx="37" formatCode="General">
                  <c:v>2.8</c:v>
                </c:pt>
                <c:pt idx="38" formatCode="General">
                  <c:v>2.4</c:v>
                </c:pt>
                <c:pt idx="39" formatCode="General">
                  <c:v>2.2999999999999998</c:v>
                </c:pt>
                <c:pt idx="40" formatCode="General">
                  <c:v>2.4</c:v>
                </c:pt>
                <c:pt idx="41" formatCode="General">
                  <c:v>2.7</c:v>
                </c:pt>
                <c:pt idx="42" formatCode="General">
                  <c:v>2.7</c:v>
                </c:pt>
                <c:pt idx="43" formatCode="General">
                  <c:v>2.9</c:v>
                </c:pt>
                <c:pt idx="44" formatCode="General">
                  <c:v>3</c:v>
                </c:pt>
                <c:pt idx="45" formatCode="General">
                  <c:v>3</c:v>
                </c:pt>
                <c:pt idx="46" formatCode="General">
                  <c:v>2.7</c:v>
                </c:pt>
                <c:pt idx="47" formatCode="General">
                  <c:v>2.7</c:v>
                </c:pt>
                <c:pt idx="48" formatCode="General">
                  <c:v>2.4</c:v>
                </c:pt>
                <c:pt idx="49" formatCode="General">
                  <c:v>2.4</c:v>
                </c:pt>
                <c:pt idx="50" formatCode="General">
                  <c:v>3.3</c:v>
                </c:pt>
                <c:pt idx="51" formatCode="General">
                  <c:v>3.8</c:v>
                </c:pt>
                <c:pt idx="52" formatCode="General">
                  <c:v>4.2</c:v>
                </c:pt>
                <c:pt idx="53" formatCode="General">
                  <c:v>3.5</c:v>
                </c:pt>
              </c:numCache>
            </c:numRef>
          </c:val>
          <c:smooth val="0"/>
          <c:extLst>
            <c:ext xmlns:c16="http://schemas.microsoft.com/office/drawing/2014/chart" uri="{C3380CC4-5D6E-409C-BE32-E72D297353CC}">
              <c16:uniqueId val="{00000000-DB3A-45CA-81EE-2F4F1E37F67F}"/>
            </c:ext>
          </c:extLst>
        </c:ser>
        <c:ser>
          <c:idx val="1"/>
          <c:order val="1"/>
          <c:tx>
            <c:strRef>
              <c:f>Sheet1!$D$1</c:f>
              <c:strCache>
                <c:ptCount val="1"/>
                <c:pt idx="0">
                  <c:v>ԵԳ</c:v>
                </c:pt>
              </c:strCache>
            </c:strRef>
          </c:tx>
          <c:spPr>
            <a:ln w="22225" cap="rnd">
              <a:solidFill>
                <a:srgbClr val="5B9BD5"/>
              </a:solidFill>
              <a:round/>
            </a:ln>
            <a:effectLst/>
          </c:spPr>
          <c:marker>
            <c:symbol val="none"/>
          </c:marker>
          <c:cat>
            <c:multiLvlStrRef>
              <c:f>Sheet1!$A$14:$B$103</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Sheet1!$D$2:$D$103</c:f>
              <c:numCache>
                <c:formatCode>General</c:formatCode>
                <c:ptCount val="54"/>
                <c:pt idx="0">
                  <c:v>5.0999999999999996</c:v>
                </c:pt>
                <c:pt idx="1">
                  <c:v>5.9</c:v>
                </c:pt>
                <c:pt idx="2">
                  <c:v>7.4</c:v>
                </c:pt>
                <c:pt idx="3">
                  <c:v>7.4</c:v>
                </c:pt>
                <c:pt idx="4">
                  <c:v>8.1</c:v>
                </c:pt>
                <c:pt idx="5">
                  <c:v>8.6</c:v>
                </c:pt>
                <c:pt idx="6">
                  <c:v>8.9</c:v>
                </c:pt>
                <c:pt idx="7">
                  <c:v>9.1</c:v>
                </c:pt>
                <c:pt idx="8">
                  <c:v>9.9</c:v>
                </c:pt>
                <c:pt idx="9">
                  <c:v>10.6</c:v>
                </c:pt>
                <c:pt idx="10">
                  <c:v>10.1</c:v>
                </c:pt>
                <c:pt idx="11">
                  <c:v>9.1999999999999993</c:v>
                </c:pt>
                <c:pt idx="12" formatCode="0.0">
                  <c:v>8.6</c:v>
                </c:pt>
                <c:pt idx="13" formatCode="0.0">
                  <c:v>8.5</c:v>
                </c:pt>
                <c:pt idx="14" formatCode="0.0">
                  <c:v>6.9</c:v>
                </c:pt>
                <c:pt idx="15" formatCode="0.0">
                  <c:v>7</c:v>
                </c:pt>
                <c:pt idx="16" formatCode="0.0">
                  <c:v>6.1</c:v>
                </c:pt>
                <c:pt idx="17" formatCode="0.0">
                  <c:v>5.5</c:v>
                </c:pt>
                <c:pt idx="18" formatCode="0.0">
                  <c:v>5.3</c:v>
                </c:pt>
                <c:pt idx="19" formatCode="0.0">
                  <c:v>5.3</c:v>
                </c:pt>
                <c:pt idx="20" formatCode="0.0">
                  <c:v>4.3</c:v>
                </c:pt>
                <c:pt idx="21" formatCode="0.0">
                  <c:v>2.9</c:v>
                </c:pt>
                <c:pt idx="22" formatCode="0.0">
                  <c:v>2.4</c:v>
                </c:pt>
                <c:pt idx="23" formatCode="0.0">
                  <c:v>2.9</c:v>
                </c:pt>
                <c:pt idx="24" formatCode="0.0">
                  <c:v>2.8</c:v>
                </c:pt>
                <c:pt idx="25" formatCode="0.0">
                  <c:v>2.6</c:v>
                </c:pt>
                <c:pt idx="26" formatCode="0.0">
                  <c:v>2.4</c:v>
                </c:pt>
                <c:pt idx="27" formatCode="0.0">
                  <c:v>2.4</c:v>
                </c:pt>
                <c:pt idx="28" formatCode="0.0">
                  <c:v>2.6</c:v>
                </c:pt>
                <c:pt idx="29" formatCode="0.0">
                  <c:v>2.5</c:v>
                </c:pt>
                <c:pt idx="30" formatCode="0.0">
                  <c:v>2.6</c:v>
                </c:pt>
                <c:pt idx="31" formatCode="0.0">
                  <c:v>2.2000000000000002</c:v>
                </c:pt>
                <c:pt idx="32" formatCode="0.0">
                  <c:v>1.7</c:v>
                </c:pt>
                <c:pt idx="33">
                  <c:v>2</c:v>
                </c:pt>
                <c:pt idx="34">
                  <c:v>2.2000000000000002</c:v>
                </c:pt>
                <c:pt idx="35">
                  <c:v>2.4</c:v>
                </c:pt>
                <c:pt idx="36">
                  <c:v>2.5</c:v>
                </c:pt>
                <c:pt idx="37">
                  <c:v>2.2999999999999998</c:v>
                </c:pt>
                <c:pt idx="38">
                  <c:v>2.2000000000000002</c:v>
                </c:pt>
                <c:pt idx="39">
                  <c:v>2.2000000000000002</c:v>
                </c:pt>
                <c:pt idx="40">
                  <c:v>1.9</c:v>
                </c:pt>
                <c:pt idx="41">
                  <c:v>2</c:v>
                </c:pt>
                <c:pt idx="42">
                  <c:v>2</c:v>
                </c:pt>
                <c:pt idx="43">
                  <c:v>2</c:v>
                </c:pt>
                <c:pt idx="44">
                  <c:v>2.2000000000000002</c:v>
                </c:pt>
                <c:pt idx="45">
                  <c:v>2.1</c:v>
                </c:pt>
                <c:pt idx="46" formatCode="0.0">
                  <c:v>2.1</c:v>
                </c:pt>
                <c:pt idx="47" formatCode="0.0">
                  <c:v>2</c:v>
                </c:pt>
                <c:pt idx="48" formatCode="0.0">
                  <c:v>1.7</c:v>
                </c:pt>
                <c:pt idx="49" formatCode="0.0">
                  <c:v>1.9</c:v>
                </c:pt>
                <c:pt idx="50" formatCode="0.0">
                  <c:v>2.6</c:v>
                </c:pt>
                <c:pt idx="51" formatCode="0.0">
                  <c:v>3</c:v>
                </c:pt>
                <c:pt idx="52" formatCode="0.0">
                  <c:v>3.2</c:v>
                </c:pt>
                <c:pt idx="53" formatCode="0.0">
                  <c:v>2.8</c:v>
                </c:pt>
              </c:numCache>
            </c:numRef>
          </c:val>
          <c:smooth val="0"/>
          <c:extLst>
            <c:ext xmlns:c16="http://schemas.microsoft.com/office/drawing/2014/chart" uri="{C3380CC4-5D6E-409C-BE32-E72D297353CC}">
              <c16:uniqueId val="{00000001-DB3A-45CA-81EE-2F4F1E37F67F}"/>
            </c:ext>
          </c:extLst>
        </c:ser>
        <c:ser>
          <c:idx val="2"/>
          <c:order val="2"/>
          <c:tx>
            <c:strRef>
              <c:f>Sheet1!$E$1</c:f>
              <c:strCache>
                <c:ptCount val="1"/>
                <c:pt idx="0">
                  <c:v>Չինաստան</c:v>
                </c:pt>
              </c:strCache>
            </c:strRef>
          </c:tx>
          <c:spPr>
            <a:ln w="22225" cap="rnd">
              <a:solidFill>
                <a:sysClr val="window" lastClr="FFFFFF">
                  <a:lumMod val="50000"/>
                </a:sysClr>
              </a:solidFill>
              <a:round/>
            </a:ln>
            <a:effectLst/>
          </c:spPr>
          <c:marker>
            <c:symbol val="none"/>
          </c:marker>
          <c:cat>
            <c:multiLvlStrRef>
              <c:f>Sheet1!$A$14:$B$103</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Sheet1!$E$2:$E$103</c:f>
              <c:numCache>
                <c:formatCode>General</c:formatCode>
                <c:ptCount val="54"/>
                <c:pt idx="0">
                  <c:v>0.9</c:v>
                </c:pt>
                <c:pt idx="1">
                  <c:v>0.9</c:v>
                </c:pt>
                <c:pt idx="2">
                  <c:v>1.5</c:v>
                </c:pt>
                <c:pt idx="3">
                  <c:v>2.1</c:v>
                </c:pt>
                <c:pt idx="4">
                  <c:v>2.1</c:v>
                </c:pt>
                <c:pt idx="5">
                  <c:v>2.5</c:v>
                </c:pt>
                <c:pt idx="6">
                  <c:v>2.7</c:v>
                </c:pt>
                <c:pt idx="7">
                  <c:v>2.5</c:v>
                </c:pt>
                <c:pt idx="8">
                  <c:v>2.8</c:v>
                </c:pt>
                <c:pt idx="9">
                  <c:v>2.1</c:v>
                </c:pt>
                <c:pt idx="10">
                  <c:v>1.6</c:v>
                </c:pt>
                <c:pt idx="11">
                  <c:v>1.8</c:v>
                </c:pt>
                <c:pt idx="12" formatCode="0.0">
                  <c:v>2.1</c:v>
                </c:pt>
                <c:pt idx="13" formatCode="0.0">
                  <c:v>1</c:v>
                </c:pt>
                <c:pt idx="14" formatCode="0.0">
                  <c:v>0.7</c:v>
                </c:pt>
                <c:pt idx="15" formatCode="0.0">
                  <c:v>0.1</c:v>
                </c:pt>
                <c:pt idx="16" formatCode="0.0">
                  <c:v>0.2</c:v>
                </c:pt>
                <c:pt idx="17" formatCode="0.0">
                  <c:v>0</c:v>
                </c:pt>
                <c:pt idx="18" formatCode="0.0">
                  <c:v>-0.3</c:v>
                </c:pt>
                <c:pt idx="19" formatCode="0.0">
                  <c:v>0.1</c:v>
                </c:pt>
                <c:pt idx="20" formatCode="0.0">
                  <c:v>0</c:v>
                </c:pt>
                <c:pt idx="21" formatCode="0.0">
                  <c:v>-0.2</c:v>
                </c:pt>
                <c:pt idx="22" formatCode="0.0">
                  <c:v>-0.5</c:v>
                </c:pt>
                <c:pt idx="23" formatCode="0.0">
                  <c:v>-0.3</c:v>
                </c:pt>
                <c:pt idx="24" formatCode="0.0">
                  <c:v>-0.8</c:v>
                </c:pt>
                <c:pt idx="25" formatCode="0.0">
                  <c:v>0.7</c:v>
                </c:pt>
                <c:pt idx="26" formatCode="0.0">
                  <c:v>0.1</c:v>
                </c:pt>
                <c:pt idx="27" formatCode="0.0">
                  <c:v>0.3</c:v>
                </c:pt>
                <c:pt idx="28" formatCode="0.0">
                  <c:v>0.3</c:v>
                </c:pt>
                <c:pt idx="29" formatCode="0.0">
                  <c:v>0.2</c:v>
                </c:pt>
                <c:pt idx="30" formatCode="0.0">
                  <c:v>0.5</c:v>
                </c:pt>
                <c:pt idx="31" formatCode="0.0">
                  <c:v>0.6</c:v>
                </c:pt>
                <c:pt idx="32" formatCode="0.0">
                  <c:v>0.4</c:v>
                </c:pt>
                <c:pt idx="33">
                  <c:v>0.3</c:v>
                </c:pt>
                <c:pt idx="34">
                  <c:v>0.2</c:v>
                </c:pt>
                <c:pt idx="35">
                  <c:v>0.1</c:v>
                </c:pt>
                <c:pt idx="36">
                  <c:v>0.5</c:v>
                </c:pt>
                <c:pt idx="37">
                  <c:v>-0.7</c:v>
                </c:pt>
                <c:pt idx="38">
                  <c:v>-0.1</c:v>
                </c:pt>
                <c:pt idx="39">
                  <c:v>-0.1</c:v>
                </c:pt>
                <c:pt idx="40">
                  <c:v>-0.1</c:v>
                </c:pt>
                <c:pt idx="41">
                  <c:v>0.1</c:v>
                </c:pt>
                <c:pt idx="42">
                  <c:v>0</c:v>
                </c:pt>
                <c:pt idx="43">
                  <c:v>-0.4</c:v>
                </c:pt>
                <c:pt idx="44">
                  <c:v>-0.3</c:v>
                </c:pt>
                <c:pt idx="45">
                  <c:v>0.2</c:v>
                </c:pt>
                <c:pt idx="46" formatCode="0.0">
                  <c:v>0.7</c:v>
                </c:pt>
                <c:pt idx="47" formatCode="0.0">
                  <c:v>0.8</c:v>
                </c:pt>
                <c:pt idx="48" formatCode="0.0">
                  <c:v>0.2</c:v>
                </c:pt>
                <c:pt idx="49" formatCode="0.0">
                  <c:v>1.3</c:v>
                </c:pt>
                <c:pt idx="50" formatCode="0.0">
                  <c:v>1</c:v>
                </c:pt>
                <c:pt idx="51" formatCode="0.0">
                  <c:v>1.2</c:v>
                </c:pt>
                <c:pt idx="52" formatCode="0.0">
                  <c:v>1.2</c:v>
                </c:pt>
                <c:pt idx="53" formatCode="0.0">
                  <c:v>1</c:v>
                </c:pt>
              </c:numCache>
            </c:numRef>
          </c:val>
          <c:smooth val="0"/>
          <c:extLst>
            <c:ext xmlns:c16="http://schemas.microsoft.com/office/drawing/2014/chart" uri="{C3380CC4-5D6E-409C-BE32-E72D297353CC}">
              <c16:uniqueId val="{00000002-DB3A-45CA-81EE-2F4F1E37F67F}"/>
            </c:ext>
          </c:extLst>
        </c:ser>
        <c:ser>
          <c:idx val="3"/>
          <c:order val="3"/>
          <c:tx>
            <c:strRef>
              <c:f>Sheet1!$F$1</c:f>
              <c:strCache>
                <c:ptCount val="1"/>
                <c:pt idx="0">
                  <c:v>ՌԴ</c:v>
                </c:pt>
              </c:strCache>
            </c:strRef>
          </c:tx>
          <c:spPr>
            <a:ln w="22225" cap="rnd">
              <a:solidFill>
                <a:srgbClr val="ED7D31">
                  <a:lumMod val="60000"/>
                  <a:lumOff val="40000"/>
                </a:srgbClr>
              </a:solidFill>
              <a:round/>
            </a:ln>
            <a:effectLst/>
          </c:spPr>
          <c:marker>
            <c:symbol val="none"/>
          </c:marker>
          <c:cat>
            <c:multiLvlStrRef>
              <c:f>Sheet1!$A$14:$B$103</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Sheet1!$F$2:$F$103</c:f>
              <c:numCache>
                <c:formatCode>General</c:formatCode>
                <c:ptCount val="54"/>
                <c:pt idx="0" formatCode="0.0">
                  <c:v>8.73</c:v>
                </c:pt>
                <c:pt idx="1">
                  <c:v>9.1999999999999993</c:v>
                </c:pt>
                <c:pt idx="2">
                  <c:v>16.7</c:v>
                </c:pt>
                <c:pt idx="3">
                  <c:v>17.8</c:v>
                </c:pt>
                <c:pt idx="4">
                  <c:v>17.100000000000001</c:v>
                </c:pt>
                <c:pt idx="5">
                  <c:v>15.9</c:v>
                </c:pt>
                <c:pt idx="6">
                  <c:v>15.1</c:v>
                </c:pt>
                <c:pt idx="7">
                  <c:v>14.3</c:v>
                </c:pt>
                <c:pt idx="8">
                  <c:v>13.7</c:v>
                </c:pt>
                <c:pt idx="9">
                  <c:v>12.6</c:v>
                </c:pt>
                <c:pt idx="10" formatCode="0.0">
                  <c:v>12</c:v>
                </c:pt>
                <c:pt idx="11">
                  <c:v>11.9</c:v>
                </c:pt>
                <c:pt idx="12" formatCode="0.0">
                  <c:v>11.8</c:v>
                </c:pt>
                <c:pt idx="13" formatCode="0.0">
                  <c:v>11</c:v>
                </c:pt>
                <c:pt idx="14" formatCode="0.0">
                  <c:v>3.5</c:v>
                </c:pt>
                <c:pt idx="15" formatCode="0.0">
                  <c:v>2.2999999999999998</c:v>
                </c:pt>
                <c:pt idx="16" formatCode="0.0">
                  <c:v>2.5</c:v>
                </c:pt>
                <c:pt idx="17" formatCode="0.0">
                  <c:v>3.2</c:v>
                </c:pt>
                <c:pt idx="18" formatCode="0.0">
                  <c:v>4.3</c:v>
                </c:pt>
                <c:pt idx="19" formatCode="0.0">
                  <c:v>5.2</c:v>
                </c:pt>
                <c:pt idx="20" formatCode="0.0">
                  <c:v>6</c:v>
                </c:pt>
                <c:pt idx="21" formatCode="0.0">
                  <c:v>6.7</c:v>
                </c:pt>
                <c:pt idx="22" formatCode="0.0">
                  <c:v>7.5</c:v>
                </c:pt>
                <c:pt idx="23" formatCode="0.0">
                  <c:v>7.4</c:v>
                </c:pt>
                <c:pt idx="24" formatCode="0.0">
                  <c:v>7.4</c:v>
                </c:pt>
                <c:pt idx="25" formatCode="0.0">
                  <c:v>7.7</c:v>
                </c:pt>
                <c:pt idx="26" formatCode="0.0">
                  <c:v>7.7</c:v>
                </c:pt>
                <c:pt idx="27" formatCode="0.0">
                  <c:v>7.8</c:v>
                </c:pt>
                <c:pt idx="28" formatCode="0.0">
                  <c:v>8.3000000000000007</c:v>
                </c:pt>
                <c:pt idx="29" formatCode="0.0">
                  <c:v>8.6</c:v>
                </c:pt>
                <c:pt idx="30" formatCode="0.0">
                  <c:v>9.1</c:v>
                </c:pt>
                <c:pt idx="31" formatCode="0.0">
                  <c:v>9.1</c:v>
                </c:pt>
                <c:pt idx="32" formatCode="0.0">
                  <c:v>8.6</c:v>
                </c:pt>
                <c:pt idx="33">
                  <c:v>8.5</c:v>
                </c:pt>
                <c:pt idx="34">
                  <c:v>8.9</c:v>
                </c:pt>
                <c:pt idx="35">
                  <c:v>9.5</c:v>
                </c:pt>
                <c:pt idx="36">
                  <c:v>9.9</c:v>
                </c:pt>
                <c:pt idx="37">
                  <c:v>10.1</c:v>
                </c:pt>
                <c:pt idx="38">
                  <c:v>10.3</c:v>
                </c:pt>
                <c:pt idx="39">
                  <c:v>10.199999999999999</c:v>
                </c:pt>
                <c:pt idx="40">
                  <c:v>9.9</c:v>
                </c:pt>
                <c:pt idx="41">
                  <c:v>9.4</c:v>
                </c:pt>
                <c:pt idx="42">
                  <c:v>8.8000000000000007</c:v>
                </c:pt>
                <c:pt idx="43">
                  <c:v>8.1</c:v>
                </c:pt>
                <c:pt idx="44">
                  <c:v>8</c:v>
                </c:pt>
                <c:pt idx="45">
                  <c:v>7.7</c:v>
                </c:pt>
                <c:pt idx="46" formatCode="0.0">
                  <c:v>6.6</c:v>
                </c:pt>
                <c:pt idx="47" formatCode="0.0">
                  <c:v>5.6</c:v>
                </c:pt>
                <c:pt idx="48" formatCode="0.0">
                  <c:v>6</c:v>
                </c:pt>
                <c:pt idx="49" formatCode="0.0">
                  <c:v>5.9</c:v>
                </c:pt>
                <c:pt idx="50" formatCode="0.0">
                  <c:v>5.9</c:v>
                </c:pt>
                <c:pt idx="51" formatCode="0.0">
                  <c:v>5.6</c:v>
                </c:pt>
                <c:pt idx="52" formatCode="0.0">
                  <c:v>5.3</c:v>
                </c:pt>
                <c:pt idx="53" formatCode="0.0">
                  <c:v>6</c:v>
                </c:pt>
              </c:numCache>
            </c:numRef>
          </c:val>
          <c:smooth val="0"/>
          <c:extLst>
            <c:ext xmlns:c16="http://schemas.microsoft.com/office/drawing/2014/chart" uri="{C3380CC4-5D6E-409C-BE32-E72D297353CC}">
              <c16:uniqueId val="{00000003-DB3A-45CA-81EE-2F4F1E37F67F}"/>
            </c:ext>
          </c:extLst>
        </c:ser>
        <c:dLbls>
          <c:showLegendKey val="0"/>
          <c:showVal val="0"/>
          <c:showCatName val="0"/>
          <c:showSerName val="0"/>
          <c:showPercent val="0"/>
          <c:showBubbleSize val="0"/>
        </c:dLbls>
        <c:smooth val="0"/>
        <c:axId val="-412821536"/>
        <c:axId val="-412824256"/>
      </c:lineChart>
      <c:catAx>
        <c:axId val="-412821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12824256"/>
        <c:crosses val="autoZero"/>
        <c:auto val="1"/>
        <c:lblAlgn val="ctr"/>
        <c:lblOffset val="100"/>
        <c:noMultiLvlLbl val="0"/>
      </c:catAx>
      <c:valAx>
        <c:axId val="-4128242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1282153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556209735146743"/>
        </c:manualLayout>
      </c:layout>
      <c:lineChart>
        <c:grouping val="standard"/>
        <c:varyColors val="0"/>
        <c:ser>
          <c:idx val="0"/>
          <c:order val="0"/>
          <c:tx>
            <c:strRef>
              <c:f>Sheet1!$A$2</c:f>
              <c:strCache>
                <c:ptCount val="1"/>
                <c:pt idx="0">
                  <c:v>Իրական փոփոխությունը (կուտակային)</c:v>
                </c:pt>
              </c:strCache>
            </c:strRef>
          </c:tx>
          <c:spPr>
            <a:ln w="28575" cap="rnd">
              <a:solidFill>
                <a:srgbClr val="4F81BD">
                  <a:lumMod val="75000"/>
                </a:srgbClr>
              </a:solidFill>
              <a:round/>
            </a:ln>
            <a:effectLst/>
          </c:spPr>
          <c:marker>
            <c:symbol val="circle"/>
            <c:size val="4"/>
            <c:spPr>
              <a:solidFill>
                <a:srgbClr val="4F81BD">
                  <a:lumMod val="75000"/>
                </a:srgbClr>
              </a:solidFill>
              <a:ln w="9525">
                <a:solidFill>
                  <a:srgbClr val="4F81BD">
                    <a:lumMod val="75000"/>
                  </a:srgbClr>
                </a:solidFill>
              </a:ln>
              <a:effectLst/>
            </c:spPr>
          </c:marker>
          <c:dLbls>
            <c:spPr>
              <a:noFill/>
              <a:ln w="25400">
                <a:noFill/>
              </a:ln>
            </c:spPr>
            <c:txPr>
              <a:bodyPr/>
              <a:lstStyle/>
              <a:p>
                <a:pPr>
                  <a:defRPr sz="800" b="1">
                    <a:solidFill>
                      <a:schemeClr val="accent1">
                        <a:lumMod val="75000"/>
                      </a:schemeClr>
                    </a:solidFill>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1</c:v>
                </c:pt>
                <c:pt idx="1">
                  <c:v>2</c:v>
                </c:pt>
                <c:pt idx="2">
                  <c:v>3</c:v>
                </c:pt>
                <c:pt idx="3">
                  <c:v>4</c:v>
                </c:pt>
                <c:pt idx="4">
                  <c:v>5</c:v>
                </c:pt>
                <c:pt idx="5">
                  <c:v>6</c:v>
                </c:pt>
              </c:strCache>
            </c:strRef>
          </c:cat>
          <c:val>
            <c:numRef>
              <c:f>Sheet1!$B$2:$G$2</c:f>
              <c:numCache>
                <c:formatCode>0.0</c:formatCode>
                <c:ptCount val="6"/>
                <c:pt idx="0">
                  <c:v>-6.9959596358755789</c:v>
                </c:pt>
                <c:pt idx="1">
                  <c:v>14.366361160233666</c:v>
                </c:pt>
                <c:pt idx="2">
                  <c:v>6.0340356334177159</c:v>
                </c:pt>
                <c:pt idx="3">
                  <c:v>-2.5203483231635317</c:v>
                </c:pt>
                <c:pt idx="4">
                  <c:v>-3.6215553869078718</c:v>
                </c:pt>
                <c:pt idx="5">
                  <c:v>-5.9893416158271293</c:v>
                </c:pt>
              </c:numCache>
            </c:numRef>
          </c:val>
          <c:smooth val="0"/>
          <c:extLst>
            <c:ext xmlns:c16="http://schemas.microsoft.com/office/drawing/2014/chart" uri="{C3380CC4-5D6E-409C-BE32-E72D297353CC}">
              <c16:uniqueId val="{00000000-71DD-4C63-A56D-2E16AFB57B93}"/>
            </c:ext>
          </c:extLst>
        </c:ser>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400">
                <a:noFill/>
              </a:ln>
            </c:spPr>
            <c:txPr>
              <a:bodyPr wrap="square" lIns="38100" tIns="19050" rIns="38100" bIns="19050" anchor="ctr">
                <a:spAutoFit/>
              </a:bodyPr>
              <a:lstStyle/>
              <a:p>
                <a:pPr>
                  <a:defRPr sz="800" b="1">
                    <a:solidFill>
                      <a:schemeClr val="accent2">
                        <a:lumMod val="50000"/>
                      </a:schemeClr>
                    </a:solidFill>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1</c:v>
                </c:pt>
                <c:pt idx="1">
                  <c:v>2</c:v>
                </c:pt>
                <c:pt idx="2">
                  <c:v>3</c:v>
                </c:pt>
                <c:pt idx="3">
                  <c:v>4</c:v>
                </c:pt>
                <c:pt idx="4">
                  <c:v>5</c:v>
                </c:pt>
                <c:pt idx="5">
                  <c:v>6</c:v>
                </c:pt>
              </c:strCache>
            </c:strRef>
          </c:cat>
          <c:val>
            <c:numRef>
              <c:f>Sheet1!$B$3:$G$3</c:f>
              <c:numCache>
                <c:formatCode>0.0</c:formatCode>
                <c:ptCount val="6"/>
                <c:pt idx="0">
                  <c:v>-4.1142149942924959</c:v>
                </c:pt>
                <c:pt idx="1">
                  <c:v>-2.5946774052272588</c:v>
                </c:pt>
                <c:pt idx="2">
                  <c:v>-3.2746324273589238</c:v>
                </c:pt>
                <c:pt idx="3">
                  <c:v>-3.5213558308902435</c:v>
                </c:pt>
                <c:pt idx="4">
                  <c:v>-4.1742847131375953</c:v>
                </c:pt>
                <c:pt idx="5">
                  <c:v>-5.0407727598915386</c:v>
                </c:pt>
              </c:numCache>
            </c:numRef>
          </c:val>
          <c:smooth val="0"/>
          <c:extLst>
            <c:ext xmlns:c16="http://schemas.microsoft.com/office/drawing/2014/chart" uri="{C3380CC4-5D6E-409C-BE32-E72D297353CC}">
              <c16:uniqueId val="{00000001-71DD-4C63-A56D-2E16AFB57B93}"/>
            </c:ext>
          </c:extLst>
        </c:ser>
        <c:ser>
          <c:idx val="2"/>
          <c:order val="2"/>
          <c:tx>
            <c:strRef>
              <c:f>Sheet1!$A$4</c:f>
              <c:strCache>
                <c:ptCount val="1"/>
                <c:pt idx="0">
                  <c:v>Փոխարժեքի փոփոխություն (կուտակային)</c:v>
                </c:pt>
              </c:strCache>
            </c:strRef>
          </c:tx>
          <c:dLbls>
            <c:spPr>
              <a:noFill/>
              <a:ln w="25400">
                <a:noFill/>
              </a:ln>
            </c:spPr>
            <c:txPr>
              <a:bodyPr wrap="square" lIns="38100" tIns="19050" rIns="38100" bIns="19050" anchor="ctr">
                <a:spAutoFit/>
              </a:bodyPr>
              <a:lstStyle/>
              <a:p>
                <a:pPr>
                  <a:defRPr sz="800" b="1">
                    <a:solidFill>
                      <a:schemeClr val="bg1">
                        <a:lumMod val="50000"/>
                      </a:schemeClr>
                    </a:solidFill>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1</c:v>
                </c:pt>
                <c:pt idx="1">
                  <c:v>2</c:v>
                </c:pt>
                <c:pt idx="2">
                  <c:v>3</c:v>
                </c:pt>
                <c:pt idx="3">
                  <c:v>4</c:v>
                </c:pt>
                <c:pt idx="4">
                  <c:v>5</c:v>
                </c:pt>
                <c:pt idx="5">
                  <c:v>6</c:v>
                </c:pt>
              </c:strCache>
            </c:strRef>
          </c:cat>
          <c:val>
            <c:numRef>
              <c:f>Sheet1!$B$4:$G$4</c:f>
              <c:numCache>
                <c:formatCode>0.0</c:formatCode>
                <c:ptCount val="6"/>
                <c:pt idx="0">
                  <c:v>4.7134059687352021</c:v>
                </c:pt>
                <c:pt idx="1">
                  <c:v>4.7470067192058423</c:v>
                </c:pt>
                <c:pt idx="2">
                  <c:v>4.5273110169267596</c:v>
                </c:pt>
                <c:pt idx="3">
                  <c:v>4.496660305343525</c:v>
                </c:pt>
                <c:pt idx="4">
                  <c:v>4.5769490911608699</c:v>
                </c:pt>
                <c:pt idx="5">
                  <c:v>4.5370959914155833</c:v>
                </c:pt>
              </c:numCache>
            </c:numRef>
          </c:val>
          <c:smooth val="0"/>
          <c:extLst>
            <c:ext xmlns:c16="http://schemas.microsoft.com/office/drawing/2014/chart" uri="{C3380CC4-5D6E-409C-BE32-E72D297353CC}">
              <c16:uniqueId val="{00000002-71DD-4C63-A56D-2E16AFB57B93}"/>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t"/>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max"/>
        <c:auto val="1"/>
        <c:lblAlgn val="ctr"/>
        <c:lblOffset val="100"/>
        <c:noMultiLvlLbl val="0"/>
      </c:catAx>
      <c:valAx>
        <c:axId val="1"/>
        <c:scaling>
          <c:orientation val="minMax"/>
          <c:min val="-1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spPr>
        <a:solidFill>
          <a:sysClr val="window" lastClr="FFFFFF"/>
        </a:solidFill>
        <a:ln>
          <a:noFill/>
        </a:ln>
        <a:effectLst/>
      </c:spPr>
    </c:plotArea>
    <c:legend>
      <c:legendPos val="b"/>
      <c:layout>
        <c:manualLayout>
          <c:xMode val="edge"/>
          <c:yMode val="edge"/>
          <c:x val="0"/>
          <c:y val="0.80961274511409675"/>
          <c:w val="1"/>
          <c:h val="0.19038725488590313"/>
        </c:manualLayout>
      </c:layout>
      <c:overlay val="0"/>
      <c:spPr>
        <a:noFill/>
        <a:ln w="25400">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30224590189699"/>
          <c:y val="4.5562676758428455E-2"/>
          <c:w val="0.85358700104683449"/>
          <c:h val="0.67050869614060893"/>
        </c:manualLayout>
      </c:layout>
      <c:lineChart>
        <c:grouping val="standard"/>
        <c:varyColors val="0"/>
        <c:ser>
          <c:idx val="0"/>
          <c:order val="0"/>
          <c:tx>
            <c:strRef>
              <c:f>Sheet1!$A$2</c:f>
              <c:strCache>
                <c:ptCount val="1"/>
                <c:pt idx="0">
                  <c:v>12 ամսյա փոփոխություն, % </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a:noFill/>
              </a:ln>
              <a:effectLst/>
            </c:spPr>
            <c:txPr>
              <a:bodyPr wrap="square" lIns="38100" tIns="19050" rIns="38100" bIns="19050" anchor="ctr">
                <a:spAutoFit/>
              </a:bodyPr>
              <a:lstStyle/>
              <a:p>
                <a:pPr>
                  <a:defRPr b="1">
                    <a:solidFill>
                      <a:schemeClr val="accent1">
                        <a:lumMod val="75000"/>
                      </a:schemeClr>
                    </a:solidFill>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1</c:v>
                </c:pt>
                <c:pt idx="1">
                  <c:v>2</c:v>
                </c:pt>
                <c:pt idx="2">
                  <c:v>3</c:v>
                </c:pt>
                <c:pt idx="3">
                  <c:v>4</c:v>
                </c:pt>
                <c:pt idx="4">
                  <c:v>5</c:v>
                </c:pt>
                <c:pt idx="5">
                  <c:v>6</c:v>
                </c:pt>
              </c:strCache>
            </c:strRef>
          </c:cat>
          <c:val>
            <c:numRef>
              <c:f>Sheet1!$B$2:$G$2</c:f>
              <c:numCache>
                <c:formatCode>0.0</c:formatCode>
                <c:ptCount val="6"/>
                <c:pt idx="0">
                  <c:v>-10.304190772874378</c:v>
                </c:pt>
                <c:pt idx="1">
                  <c:v>31.068498756858219</c:v>
                </c:pt>
                <c:pt idx="2">
                  <c:v>-0.22967954826752646</c:v>
                </c:pt>
                <c:pt idx="3">
                  <c:v>-3.2339617626776658</c:v>
                </c:pt>
                <c:pt idx="4">
                  <c:v>1.4931340459372677</c:v>
                </c:pt>
                <c:pt idx="5">
                  <c:v>8.6234583526559021</c:v>
                </c:pt>
              </c:numCache>
            </c:numRef>
          </c:val>
          <c:smooth val="0"/>
          <c:extLst>
            <c:ext xmlns:c16="http://schemas.microsoft.com/office/drawing/2014/chart" uri="{C3380CC4-5D6E-409C-BE32-E72D297353CC}">
              <c16:uniqueId val="{00000000-4C93-473B-B2A0-3BCB3D3D8EF5}"/>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spPr>
              <a:noFill/>
              <a:ln>
                <a:noFill/>
              </a:ln>
              <a:effectLst/>
            </c:spPr>
            <c:txPr>
              <a:bodyPr wrap="square" lIns="38100" tIns="19050" rIns="38100" bIns="19050" anchor="ctr">
                <a:spAutoFit/>
              </a:bodyPr>
              <a:lstStyle/>
              <a:p>
                <a:pPr>
                  <a:defRPr b="1">
                    <a:solidFill>
                      <a:schemeClr val="accent2">
                        <a:lumMod val="50000"/>
                      </a:schemeClr>
                    </a:solidFill>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1</c:v>
                </c:pt>
                <c:pt idx="1">
                  <c:v>2</c:v>
                </c:pt>
                <c:pt idx="2">
                  <c:v>3</c:v>
                </c:pt>
                <c:pt idx="3">
                  <c:v>4</c:v>
                </c:pt>
                <c:pt idx="4">
                  <c:v>5</c:v>
                </c:pt>
                <c:pt idx="5">
                  <c:v>6</c:v>
                </c:pt>
              </c:strCache>
            </c:strRef>
          </c:cat>
          <c:val>
            <c:numRef>
              <c:f>Sheet1!$B$3:$G$3</c:f>
              <c:numCache>
                <c:formatCode>0.0</c:formatCode>
                <c:ptCount val="6"/>
                <c:pt idx="0">
                  <c:v>-10.304190772874378</c:v>
                </c:pt>
                <c:pt idx="1">
                  <c:v>9.6803638660929465</c:v>
                </c:pt>
                <c:pt idx="2">
                  <c:v>5.9855973522485328</c:v>
                </c:pt>
                <c:pt idx="3">
                  <c:v>3.4284638011449005</c:v>
                </c:pt>
                <c:pt idx="4">
                  <c:v>3.0346068343694412</c:v>
                </c:pt>
                <c:pt idx="5">
                  <c:v>3.9907606933316373</c:v>
                </c:pt>
              </c:numCache>
            </c:numRef>
          </c:val>
          <c:smooth val="0"/>
          <c:extLst>
            <c:ext xmlns:c16="http://schemas.microsoft.com/office/drawing/2014/chart" uri="{C3380CC4-5D6E-409C-BE32-E72D297353CC}">
              <c16:uniqueId val="{00000001-4C93-473B-B2A0-3BCB3D3D8EF5}"/>
            </c:ext>
          </c:extLst>
        </c:ser>
        <c:dLbls>
          <c:dLblPos val="t"/>
          <c:showLegendKey val="0"/>
          <c:showVal val="1"/>
          <c:showCatName val="0"/>
          <c:showSerName val="0"/>
          <c:showPercent val="0"/>
          <c:showBubbleSize val="0"/>
        </c:dLbls>
        <c:marker val="1"/>
        <c:smooth val="0"/>
        <c:axId val="612014624"/>
        <c:axId val="1"/>
      </c:lineChart>
      <c:catAx>
        <c:axId val="612014624"/>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04" cap="flat" cmpd="sng" algn="ctr">
              <a:solidFill>
                <a:schemeClr val="tx1">
                  <a:lumMod val="15000"/>
                  <a:lumOff val="85000"/>
                </a:schemeClr>
              </a:solidFill>
              <a:round/>
            </a:ln>
            <a:effectLst/>
          </c:spPr>
        </c:majorGridlines>
        <c:numFmt formatCode="0.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4624"/>
        <c:crosses val="autoZero"/>
        <c:crossBetween val="between"/>
        <c:majorUnit val="2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822993101093E-2"/>
          <c:y val="0.83122785765139684"/>
          <c:w val="0.97802166370070609"/>
          <c:h val="0.15056180730445134"/>
        </c:manualLayout>
      </c:layout>
      <c:overlay val="0"/>
      <c:spPr>
        <a:noFill/>
        <a:ln w="25343">
          <a:noFill/>
        </a:ln>
      </c:spPr>
      <c:txPr>
        <a:bodyPr rot="0" spcFirstLastPara="1" vertOverflow="ellipsis" vert="horz" wrap="square" anchor="ctr" anchorCtr="1"/>
        <a:lstStyle/>
        <a:p>
          <a:pPr>
            <a:defRPr sz="898">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639554902904017"/>
          <c:y val="3.7666528526039522E-2"/>
          <c:w val="0.85198401144390712"/>
          <c:h val="0.64598915407947544"/>
        </c:manualLayout>
      </c:layout>
      <c:lineChart>
        <c:grouping val="standard"/>
        <c:varyColors val="0"/>
        <c:ser>
          <c:idx val="0"/>
          <c:order val="0"/>
          <c:tx>
            <c:strRef>
              <c:f>Sheet1!$A$2</c:f>
              <c:strCache>
                <c:ptCount val="1"/>
                <c:pt idx="0">
                  <c:v>Իրական փոփոխությունը (կուտակային)</c:v>
                </c:pt>
              </c:strCache>
            </c:strRef>
          </c:tx>
          <c:spPr>
            <a:ln w="28511" cap="rnd">
              <a:solidFill>
                <a:srgbClr val="4F81BD">
                  <a:lumMod val="75000"/>
                </a:srgbClr>
              </a:solidFill>
              <a:round/>
            </a:ln>
            <a:effectLst/>
          </c:spPr>
          <c:marker>
            <c:symbol val="none"/>
          </c:marker>
          <c:dLbls>
            <c:spPr>
              <a:noFill/>
              <a:ln w="25343">
                <a:noFill/>
              </a:ln>
            </c:spPr>
            <c:txPr>
              <a:bodyPr/>
              <a:lstStyle/>
              <a:p>
                <a:pPr>
                  <a:defRPr sz="800" b="1">
                    <a:solidFill>
                      <a:schemeClr val="accent1">
                        <a:lumMod val="75000"/>
                      </a:schemeClr>
                    </a:solidFill>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1</c:v>
                </c:pt>
                <c:pt idx="1">
                  <c:v>2</c:v>
                </c:pt>
                <c:pt idx="2">
                  <c:v>3</c:v>
                </c:pt>
                <c:pt idx="3">
                  <c:v>4</c:v>
                </c:pt>
                <c:pt idx="4">
                  <c:v>5</c:v>
                </c:pt>
                <c:pt idx="5">
                  <c:v>6</c:v>
                </c:pt>
              </c:strCache>
            </c:strRef>
          </c:cat>
          <c:val>
            <c:numRef>
              <c:f>Sheet1!$B$2:$G$2</c:f>
              <c:numCache>
                <c:formatCode>0.0</c:formatCode>
                <c:ptCount val="6"/>
                <c:pt idx="0">
                  <c:v>-25.747864465548858</c:v>
                </c:pt>
                <c:pt idx="1">
                  <c:v>-9.043796729698542</c:v>
                </c:pt>
                <c:pt idx="2">
                  <c:v>-11.840614011733933</c:v>
                </c:pt>
                <c:pt idx="3">
                  <c:v>-12.721116782536058</c:v>
                </c:pt>
                <c:pt idx="4">
                  <c:v>-12.563125655050527</c:v>
                </c:pt>
                <c:pt idx="5">
                  <c:v>-10.329758542492286</c:v>
                </c:pt>
              </c:numCache>
            </c:numRef>
          </c:val>
          <c:smooth val="0"/>
          <c:extLst>
            <c:ext xmlns:c16="http://schemas.microsoft.com/office/drawing/2014/chart" uri="{C3380CC4-5D6E-409C-BE32-E72D297353CC}">
              <c16:uniqueId val="{00000000-4609-4A56-B822-55724F1CC1DE}"/>
            </c:ext>
          </c:extLst>
        </c:ser>
        <c:ser>
          <c:idx val="1"/>
          <c:order val="1"/>
          <c:tx>
            <c:strRef>
              <c:f>Sheet1!$A$3</c:f>
              <c:strCache>
                <c:ptCount val="1"/>
                <c:pt idx="0">
                  <c:v>Գնային փոփոխություն (կուտակային)</c:v>
                </c:pt>
              </c:strCache>
            </c:strRef>
          </c:tx>
          <c:marker>
            <c:symbol val="none"/>
          </c:marker>
          <c:dLbls>
            <c:spPr>
              <a:noFill/>
              <a:ln>
                <a:noFill/>
              </a:ln>
              <a:effectLst/>
            </c:spPr>
            <c:txPr>
              <a:bodyPr wrap="square" lIns="38100" tIns="19050" rIns="38100" bIns="19050" anchor="ctr">
                <a:spAutoFit/>
              </a:bodyPr>
              <a:lstStyle/>
              <a:p>
                <a:pPr>
                  <a:defRPr b="1">
                    <a:solidFill>
                      <a:schemeClr val="accent2">
                        <a:lumMod val="50000"/>
                      </a:schemeClr>
                    </a:solidFill>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1</c:v>
                </c:pt>
                <c:pt idx="1">
                  <c:v>2</c:v>
                </c:pt>
                <c:pt idx="2">
                  <c:v>3</c:v>
                </c:pt>
                <c:pt idx="3">
                  <c:v>4</c:v>
                </c:pt>
                <c:pt idx="4">
                  <c:v>5</c:v>
                </c:pt>
                <c:pt idx="5">
                  <c:v>6</c:v>
                </c:pt>
              </c:strCache>
            </c:strRef>
          </c:cat>
          <c:val>
            <c:numRef>
              <c:f>Sheet1!$B$3:$G$3</c:f>
              <c:numCache>
                <c:formatCode>0.0</c:formatCode>
                <c:ptCount val="6"/>
                <c:pt idx="0">
                  <c:v>15.361506202469215</c:v>
                </c:pt>
                <c:pt idx="1">
                  <c:v>15.121101856782403</c:v>
                </c:pt>
                <c:pt idx="2">
                  <c:v>15.01341980141251</c:v>
                </c:pt>
                <c:pt idx="3">
                  <c:v>13.404028638244768</c:v>
                </c:pt>
                <c:pt idx="4">
                  <c:v>12.681475794919578</c:v>
                </c:pt>
                <c:pt idx="5">
                  <c:v>10.936889439742032</c:v>
                </c:pt>
              </c:numCache>
            </c:numRef>
          </c:val>
          <c:smooth val="0"/>
          <c:extLst>
            <c:ext xmlns:c16="http://schemas.microsoft.com/office/drawing/2014/chart" uri="{C3380CC4-5D6E-409C-BE32-E72D297353CC}">
              <c16:uniqueId val="{00000001-4609-4A56-B822-55724F1CC1DE}"/>
            </c:ext>
          </c:extLst>
        </c:ser>
        <c:ser>
          <c:idx val="2"/>
          <c:order val="2"/>
          <c:tx>
            <c:strRef>
              <c:f>Sheet1!$A$4</c:f>
              <c:strCache>
                <c:ptCount val="1"/>
                <c:pt idx="0">
                  <c:v>Փոխարժեքի փոփոխություն (կուտակային)</c:v>
                </c:pt>
              </c:strCache>
            </c:strRef>
          </c:tx>
          <c:marker>
            <c:symbol val="none"/>
          </c:marker>
          <c:dLbls>
            <c:spPr>
              <a:noFill/>
              <a:ln>
                <a:noFill/>
              </a:ln>
              <a:effectLst/>
            </c:spPr>
            <c:txPr>
              <a:bodyPr wrap="square" lIns="38100" tIns="19050" rIns="38100" bIns="19050" anchor="ctr">
                <a:spAutoFit/>
              </a:bodyPr>
              <a:lstStyle/>
              <a:p>
                <a:pPr>
                  <a:defRPr b="1">
                    <a:solidFill>
                      <a:schemeClr val="bg1">
                        <a:lumMod val="50000"/>
                      </a:schemeClr>
                    </a:solidFill>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1</c:v>
                </c:pt>
                <c:pt idx="1">
                  <c:v>2</c:v>
                </c:pt>
                <c:pt idx="2">
                  <c:v>3</c:v>
                </c:pt>
                <c:pt idx="3">
                  <c:v>4</c:v>
                </c:pt>
                <c:pt idx="4">
                  <c:v>5</c:v>
                </c:pt>
                <c:pt idx="5">
                  <c:v>6</c:v>
                </c:pt>
              </c:strCache>
            </c:strRef>
          </c:cat>
          <c:val>
            <c:numRef>
              <c:f>Sheet1!$B$4:$G$4</c:f>
              <c:numCache>
                <c:formatCode>0.0</c:formatCode>
                <c:ptCount val="6"/>
                <c:pt idx="0">
                  <c:v>4.7134059687352021</c:v>
                </c:pt>
                <c:pt idx="1">
                  <c:v>4.7470067192058423</c:v>
                </c:pt>
                <c:pt idx="2">
                  <c:v>4.5273110169267596</c:v>
                </c:pt>
                <c:pt idx="3">
                  <c:v>4.496660305343525</c:v>
                </c:pt>
                <c:pt idx="4">
                  <c:v>4.5769490911608699</c:v>
                </c:pt>
                <c:pt idx="5">
                  <c:v>4.5370959914155833</c:v>
                </c:pt>
              </c:numCache>
            </c:numRef>
          </c:val>
          <c:smooth val="0"/>
          <c:extLst>
            <c:ext xmlns:c16="http://schemas.microsoft.com/office/drawing/2014/chart" uri="{C3380CC4-5D6E-409C-BE32-E72D297353CC}">
              <c16:uniqueId val="{00000002-4609-4A56-B822-55724F1CC1DE}"/>
            </c:ext>
          </c:extLst>
        </c:ser>
        <c:dLbls>
          <c:showLegendKey val="0"/>
          <c:showVal val="0"/>
          <c:showCatName val="0"/>
          <c:showSerName val="0"/>
          <c:showPercent val="0"/>
          <c:showBubbleSize val="0"/>
        </c:dLbls>
        <c:smooth val="0"/>
        <c:axId val="1451053391"/>
        <c:axId val="1357292047"/>
      </c:lineChart>
      <c:valAx>
        <c:axId val="1357292047"/>
        <c:scaling>
          <c:orientation val="minMax"/>
        </c:scaling>
        <c:delete val="0"/>
        <c:axPos val="l"/>
        <c:numFmt formatCode="0.0" sourceLinked="1"/>
        <c:majorTickMark val="out"/>
        <c:minorTickMark val="none"/>
        <c:tickLblPos val="nextTo"/>
        <c:crossAx val="1451053391"/>
        <c:crosses val="autoZero"/>
        <c:crossBetween val="between"/>
      </c:valAx>
      <c:catAx>
        <c:axId val="1451053391"/>
        <c:scaling>
          <c:orientation val="minMax"/>
        </c:scaling>
        <c:delete val="1"/>
        <c:axPos val="b"/>
        <c:numFmt formatCode="General" sourceLinked="1"/>
        <c:majorTickMark val="out"/>
        <c:minorTickMark val="none"/>
        <c:tickLblPos val="nextTo"/>
        <c:crossAx val="1357292047"/>
        <c:crosses val="autoZero"/>
        <c:auto val="1"/>
        <c:lblAlgn val="ctr"/>
        <c:lblOffset val="100"/>
        <c:noMultiLvlLbl val="0"/>
      </c:catAx>
      <c:spPr>
        <a:solidFill>
          <a:sysClr val="window" lastClr="FFFFFF"/>
        </a:solidFill>
        <a:ln>
          <a:noFill/>
        </a:ln>
        <a:effectLst/>
      </c:spPr>
    </c:plotArea>
    <c:legend>
      <c:legendPos val="b"/>
      <c:layout>
        <c:manualLayout>
          <c:xMode val="edge"/>
          <c:yMode val="edge"/>
          <c:x val="1.4680560139563391E-2"/>
          <c:y val="0.74517569024802122"/>
          <c:w val="0.92273468810410675"/>
          <c:h val="0.22381655781399418"/>
        </c:manualLayout>
      </c:layout>
      <c:overlay val="0"/>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2019</c:v>
                </c:pt>
              </c:strCache>
            </c:strRef>
          </c:tx>
          <c:spPr>
            <a:solidFill>
              <a:schemeClr val="accent1">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Sheet1!$B$2:$B$4</c:f>
              <c:numCache>
                <c:formatCode>0</c:formatCode>
                <c:ptCount val="3"/>
                <c:pt idx="0">
                  <c:v>770.05499999999995</c:v>
                </c:pt>
                <c:pt idx="1">
                  <c:v>182.50303499999998</c:v>
                </c:pt>
                <c:pt idx="2">
                  <c:v>587.551965</c:v>
                </c:pt>
              </c:numCache>
            </c:numRef>
          </c:val>
          <c:extLst>
            <c:ext xmlns:c16="http://schemas.microsoft.com/office/drawing/2014/chart" uri="{C3380CC4-5D6E-409C-BE32-E72D297353CC}">
              <c16:uniqueId val="{00000000-E5B0-462A-97F2-ED6AA9BAFB69}"/>
            </c:ext>
          </c:extLst>
        </c:ser>
        <c:ser>
          <c:idx val="1"/>
          <c:order val="1"/>
          <c:tx>
            <c:strRef>
              <c:f>Sheet1!$C$1</c:f>
              <c:strCache>
                <c:ptCount val="1"/>
                <c:pt idx="0">
                  <c:v>2020</c:v>
                </c:pt>
              </c:strCache>
            </c:strRef>
          </c:tx>
          <c:spPr>
            <a:solidFill>
              <a:schemeClr val="accent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Sheet1!$C$2:$C$4</c:f>
            </c:numRef>
          </c:val>
          <c:extLst>
            <c:ext xmlns:c16="http://schemas.microsoft.com/office/drawing/2014/chart" uri="{C3380CC4-5D6E-409C-BE32-E72D297353CC}">
              <c16:uniqueId val="{00000001-E5B0-462A-97F2-ED6AA9BAFB69}"/>
            </c:ext>
          </c:extLst>
        </c:ser>
        <c:ser>
          <c:idx val="2"/>
          <c:order val="2"/>
          <c:tx>
            <c:strRef>
              <c:f>Sheet1!$D$1</c:f>
              <c:strCache>
                <c:ptCount val="1"/>
                <c:pt idx="0">
                  <c:v>2021</c:v>
                </c:pt>
              </c:strCache>
            </c:strRef>
          </c:tx>
          <c:spPr>
            <a:solidFill>
              <a:schemeClr val="bg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Sheet1!$D$2:$D$4</c:f>
            </c:numRef>
          </c:val>
          <c:extLst>
            <c:ext xmlns:c16="http://schemas.microsoft.com/office/drawing/2014/chart" uri="{C3380CC4-5D6E-409C-BE32-E72D297353CC}">
              <c16:uniqueId val="{00000002-E5B0-462A-97F2-ED6AA9BAFB69}"/>
            </c:ext>
          </c:extLst>
        </c:ser>
        <c:ser>
          <c:idx val="3"/>
          <c:order val="3"/>
          <c:tx>
            <c:strRef>
              <c:f>Sheet1!$E$1</c:f>
              <c:strCache>
                <c:ptCount val="1"/>
                <c:pt idx="0">
                  <c:v>2022</c:v>
                </c:pt>
              </c:strCache>
            </c:strRef>
          </c:tx>
          <c:spPr>
            <a:solidFill>
              <a:schemeClr val="accent6">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Sheet1!$E$2:$E$4</c:f>
              <c:numCache>
                <c:formatCode>0</c:formatCode>
                <c:ptCount val="3"/>
                <c:pt idx="0">
                  <c:v>588.73099999999999</c:v>
                </c:pt>
                <c:pt idx="1">
                  <c:v>251.035</c:v>
                </c:pt>
                <c:pt idx="2">
                  <c:v>337.69600000000003</c:v>
                </c:pt>
              </c:numCache>
            </c:numRef>
          </c:val>
          <c:extLst>
            <c:ext xmlns:c16="http://schemas.microsoft.com/office/drawing/2014/chart" uri="{C3380CC4-5D6E-409C-BE32-E72D297353CC}">
              <c16:uniqueId val="{00000003-E5B0-462A-97F2-ED6AA9BAFB69}"/>
            </c:ext>
          </c:extLst>
        </c:ser>
        <c:ser>
          <c:idx val="4"/>
          <c:order val="4"/>
          <c:tx>
            <c:strRef>
              <c:f>Sheet1!$F$1</c:f>
              <c:strCache>
                <c:ptCount val="1"/>
                <c:pt idx="0">
                  <c:v>2023</c:v>
                </c:pt>
              </c:strCache>
            </c:strRef>
          </c:tx>
          <c:spPr>
            <a:solidFill>
              <a:srgbClr val="4BACC6"/>
            </a:solidFill>
            <a:ln w="25394">
              <a:noFill/>
            </a:ln>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Sheet1!$F$2:$F$4</c:f>
              <c:numCache>
                <c:formatCode>0</c:formatCode>
                <c:ptCount val="3"/>
                <c:pt idx="0">
                  <c:v>1007.346</c:v>
                </c:pt>
                <c:pt idx="1">
                  <c:v>519.18600000000004</c:v>
                </c:pt>
                <c:pt idx="2">
                  <c:v>488.15999999999997</c:v>
                </c:pt>
              </c:numCache>
            </c:numRef>
          </c:val>
          <c:extLst>
            <c:ext xmlns:c16="http://schemas.microsoft.com/office/drawing/2014/chart" uri="{C3380CC4-5D6E-409C-BE32-E72D297353CC}">
              <c16:uniqueId val="{00000004-E5B0-462A-97F2-ED6AA9BAFB69}"/>
            </c:ext>
          </c:extLst>
        </c:ser>
        <c:ser>
          <c:idx val="5"/>
          <c:order val="5"/>
          <c:tx>
            <c:strRef>
              <c:f>Sheet1!$G$1</c:f>
              <c:strCache>
                <c:ptCount val="1"/>
                <c:pt idx="0">
                  <c:v>2024</c:v>
                </c:pt>
              </c:strCache>
            </c:strRef>
          </c:tx>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Ընդհանուր</c:v>
                </c:pt>
                <c:pt idx="1">
                  <c:v>ՌԴ </c:v>
                </c:pt>
                <c:pt idx="2">
                  <c:v>Այլ երկրներ</c:v>
                </c:pt>
              </c:strCache>
            </c:strRef>
          </c:cat>
          <c:val>
            <c:numRef>
              <c:f>Sheet1!$G$2:$G$4</c:f>
              <c:numCache>
                <c:formatCode>0</c:formatCode>
                <c:ptCount val="3"/>
                <c:pt idx="0">
                  <c:v>946.16200000000003</c:v>
                </c:pt>
                <c:pt idx="1">
                  <c:v>395.68799999999999</c:v>
                </c:pt>
                <c:pt idx="2">
                  <c:v>550.47400000000005</c:v>
                </c:pt>
              </c:numCache>
            </c:numRef>
          </c:val>
          <c:extLst>
            <c:ext xmlns:c16="http://schemas.microsoft.com/office/drawing/2014/chart" uri="{C3380CC4-5D6E-409C-BE32-E72D297353CC}">
              <c16:uniqueId val="{00000005-E5B0-462A-97F2-ED6AA9BAFB69}"/>
            </c:ext>
          </c:extLst>
        </c:ser>
        <c:ser>
          <c:idx val="6"/>
          <c:order val="6"/>
          <c:tx>
            <c:strRef>
              <c:f>Sheet1!$H$1</c:f>
              <c:strCache>
                <c:ptCount val="1"/>
                <c:pt idx="0">
                  <c:v>2025</c:v>
                </c:pt>
              </c:strCache>
            </c:strRef>
          </c:tx>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Ընդհանուր</c:v>
                </c:pt>
                <c:pt idx="1">
                  <c:v>ՌԴ </c:v>
                </c:pt>
                <c:pt idx="2">
                  <c:v>Այլ երկրներ</c:v>
                </c:pt>
              </c:strCache>
            </c:strRef>
          </c:cat>
          <c:val>
            <c:numRef>
              <c:f>Sheet1!$H$2:$H$4</c:f>
              <c:numCache>
                <c:formatCode>0</c:formatCode>
                <c:ptCount val="3"/>
                <c:pt idx="0">
                  <c:v>907.13499999999999</c:v>
                </c:pt>
                <c:pt idx="1">
                  <c:v>338.05200000000002</c:v>
                </c:pt>
                <c:pt idx="2">
                  <c:v>569.08299999999997</c:v>
                </c:pt>
              </c:numCache>
            </c:numRef>
          </c:val>
          <c:extLst>
            <c:ext xmlns:c16="http://schemas.microsoft.com/office/drawing/2014/chart" uri="{C3380CC4-5D6E-409C-BE32-E72D297353CC}">
              <c16:uniqueId val="{00000006-E5B0-462A-97F2-ED6AA9BAFB69}"/>
            </c:ext>
          </c:extLst>
        </c:ser>
        <c:ser>
          <c:idx val="7"/>
          <c:order val="7"/>
          <c:tx>
            <c:strRef>
              <c:f>Sheet1!$I$1</c:f>
              <c:strCache>
                <c:ptCount val="1"/>
                <c:pt idx="0">
                  <c:v>2026</c:v>
                </c:pt>
              </c:strCache>
            </c:strRef>
          </c:tx>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Ընդհանուր</c:v>
                </c:pt>
                <c:pt idx="1">
                  <c:v>ՌԴ </c:v>
                </c:pt>
                <c:pt idx="2">
                  <c:v>Այլ երկրներ</c:v>
                </c:pt>
              </c:strCache>
            </c:strRef>
          </c:cat>
          <c:val>
            <c:numRef>
              <c:f>Sheet1!$I$2:$I$4</c:f>
              <c:numCache>
                <c:formatCode>0</c:formatCode>
                <c:ptCount val="3"/>
                <c:pt idx="0">
                  <c:v>1041.598</c:v>
                </c:pt>
                <c:pt idx="1">
                  <c:v>416.74299999999999</c:v>
                </c:pt>
                <c:pt idx="2">
                  <c:v>624.85500000000002</c:v>
                </c:pt>
              </c:numCache>
            </c:numRef>
          </c:val>
          <c:extLst>
            <c:ext xmlns:c16="http://schemas.microsoft.com/office/drawing/2014/chart" uri="{C3380CC4-5D6E-409C-BE32-E72D297353CC}">
              <c16:uniqueId val="{00000007-E5B0-462A-97F2-ED6AA9BAFB69}"/>
            </c:ext>
          </c:extLst>
        </c:ser>
        <c:dLbls>
          <c:showLegendKey val="0"/>
          <c:showVal val="0"/>
          <c:showCatName val="0"/>
          <c:showSerName val="0"/>
          <c:showPercent val="0"/>
          <c:showBubbleSize val="0"/>
        </c:dLbls>
        <c:gapWidth val="219"/>
        <c:overlap val="-27"/>
        <c:axId val="612018784"/>
        <c:axId val="1"/>
      </c:barChart>
      <c:catAx>
        <c:axId val="612018784"/>
        <c:scaling>
          <c:orientation val="minMax"/>
        </c:scaling>
        <c:delete val="0"/>
        <c:axPos val="b"/>
        <c:numFmt formatCode="General" sourceLinked="1"/>
        <c:majorTickMark val="none"/>
        <c:minorTickMark val="none"/>
        <c:tickLblPos val="nextTo"/>
        <c:spPr>
          <a:noFill/>
          <a:ln w="9523"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1"/>
        <c:majorTickMark val="none"/>
        <c:minorTickMark val="none"/>
        <c:tickLblPos val="nextTo"/>
        <c:spPr>
          <a:ln w="9523">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4">
          <a:noFill/>
        </a:ln>
      </c:spPr>
    </c:plotArea>
    <c:legend>
      <c:legendPos val="b"/>
      <c:overlay val="0"/>
      <c:spPr>
        <a:noFill/>
        <a:ln w="25394">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4"/>
          <c:order val="4"/>
          <c:tx>
            <c:strRef>
              <c:f>Sheet1!$F$1</c:f>
              <c:strCache>
                <c:ptCount val="1"/>
                <c:pt idx="0">
                  <c:v>2026</c:v>
                </c:pt>
              </c:strCache>
            </c:strRef>
          </c:tx>
          <c:spPr>
            <a:solidFill>
              <a:schemeClr val="tx2"/>
            </a:solidFill>
            <a:ln>
              <a:noFill/>
            </a:ln>
            <a:effectLst/>
          </c:spPr>
          <c:invertIfNegative val="0"/>
          <c:dLbls>
            <c:dLbl>
              <c:idx val="3"/>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2-41C4-4666-8123-1723594F8016}"/>
                </c:ext>
              </c:extLst>
            </c:dLbl>
            <c:dLbl>
              <c:idx val="4"/>
              <c:numFmt formatCode="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0-41C4-4666-8123-1723594F8016}"/>
                </c:ext>
              </c:extLst>
            </c:dLbl>
            <c:dLbl>
              <c:idx val="5"/>
              <c:numFmt formatCode="0.0;[Red]0.0" sourceLinked="0"/>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41C4-4666-8123-1723594F8016}"/>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Cache>
                <c:formatCode>0.0</c:formatCode>
                <c:ptCount val="12"/>
                <c:pt idx="0">
                  <c:v>169.11255999999995</c:v>
                </c:pt>
                <c:pt idx="1">
                  <c:v>302.99328000000008</c:v>
                </c:pt>
                <c:pt idx="2">
                  <c:v>458.21059999999989</c:v>
                </c:pt>
                <c:pt idx="3" formatCode="General">
                  <c:v>728.12644999999998</c:v>
                </c:pt>
                <c:pt idx="4" formatCode="General">
                  <c:v>1084.9144899999999</c:v>
                </c:pt>
                <c:pt idx="5" formatCode="General">
                  <c:v>1377.4230900000002</c:v>
                </c:pt>
              </c:numCache>
            </c:numRef>
          </c:val>
          <c:extLst>
            <c:ext xmlns:c16="http://schemas.microsoft.com/office/drawing/2014/chart" uri="{C3380CC4-5D6E-409C-BE32-E72D297353CC}">
              <c16:uniqueId val="{00000000-872D-4683-B867-5478FAE00787}"/>
            </c:ext>
          </c:extLst>
        </c:ser>
        <c:dLbls>
          <c:showLegendKey val="0"/>
          <c:showVal val="0"/>
          <c:showCatName val="0"/>
          <c:showSerName val="0"/>
          <c:showPercent val="0"/>
          <c:showBubbleSize val="0"/>
        </c:dLbls>
        <c:gapWidth val="219"/>
        <c:overlap val="-27"/>
        <c:axId val="1676873312"/>
        <c:axId val="1676875392"/>
      </c:barChart>
      <c:lineChart>
        <c:grouping val="standard"/>
        <c:varyColors val="0"/>
        <c:ser>
          <c:idx val="0"/>
          <c:order val="0"/>
          <c:tx>
            <c:strRef>
              <c:f>Sheet1!$B$1</c:f>
              <c:strCache>
                <c:ptCount val="1"/>
                <c:pt idx="0">
                  <c:v>2022</c:v>
                </c:pt>
              </c:strCache>
            </c:strRef>
          </c:tx>
          <c:spPr>
            <a:ln w="28575" cap="rnd">
              <a:solidFill>
                <a:schemeClr val="accent6">
                  <a:lumMod val="60000"/>
                  <a:lumOff val="40000"/>
                </a:schemeClr>
              </a:solidFill>
              <a:prstDash val="sysDash"/>
              <a:round/>
            </a:ln>
            <a:effectLst/>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Cache>
                <c:formatCode>0.0</c:formatCode>
                <c:ptCount val="12"/>
                <c:pt idx="0">
                  <c:v>40.456869999999995</c:v>
                </c:pt>
                <c:pt idx="1">
                  <c:v>96.559210000000007</c:v>
                </c:pt>
                <c:pt idx="2">
                  <c:v>190.29342</c:v>
                </c:pt>
                <c:pt idx="3">
                  <c:v>356.88243999999992</c:v>
                </c:pt>
                <c:pt idx="4">
                  <c:v>625.98016999999993</c:v>
                </c:pt>
                <c:pt idx="5">
                  <c:v>993.92444999999998</c:v>
                </c:pt>
                <c:pt idx="6">
                  <c:v>1129.3202699999999</c:v>
                </c:pt>
                <c:pt idx="7">
                  <c:v>1420.5126400000001</c:v>
                </c:pt>
                <c:pt idx="8">
                  <c:v>1729.5370700000001</c:v>
                </c:pt>
                <c:pt idx="9">
                  <c:v>2056.46036</c:v>
                </c:pt>
                <c:pt idx="10">
                  <c:v>2281.7817200000004</c:v>
                </c:pt>
                <c:pt idx="11">
                  <c:v>2583.6442099999999</c:v>
                </c:pt>
              </c:numCache>
            </c:numRef>
          </c:val>
          <c:smooth val="0"/>
          <c:extLst>
            <c:ext xmlns:c16="http://schemas.microsoft.com/office/drawing/2014/chart" uri="{C3380CC4-5D6E-409C-BE32-E72D297353CC}">
              <c16:uniqueId val="{00000001-872D-4683-B867-5478FAE00787}"/>
            </c:ext>
          </c:extLst>
        </c:ser>
        <c:ser>
          <c:idx val="1"/>
          <c:order val="1"/>
          <c:tx>
            <c:strRef>
              <c:f>Sheet1!$C$1</c:f>
              <c:strCache>
                <c:ptCount val="1"/>
                <c:pt idx="0">
                  <c:v>2023</c:v>
                </c:pt>
              </c:strCache>
            </c:strRef>
          </c:tx>
          <c:spPr>
            <a:ln w="28575" cap="rnd">
              <a:solidFill>
                <a:schemeClr val="accent4">
                  <a:lumMod val="60000"/>
                  <a:lumOff val="40000"/>
                </a:schemeClr>
              </a:solidFill>
              <a:prstDash val="sysDash"/>
              <a:round/>
            </a:ln>
            <a:effectLst/>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Cache>
                <c:formatCode>0.0</c:formatCode>
                <c:ptCount val="12"/>
                <c:pt idx="0">
                  <c:v>170.19200999999998</c:v>
                </c:pt>
                <c:pt idx="1">
                  <c:v>502.31756000000007</c:v>
                </c:pt>
                <c:pt idx="2">
                  <c:v>553.18916000000013</c:v>
                </c:pt>
                <c:pt idx="3">
                  <c:v>719.74454000000014</c:v>
                </c:pt>
                <c:pt idx="4">
                  <c:v>767.29878000000019</c:v>
                </c:pt>
                <c:pt idx="5">
                  <c:v>897.68380000000002</c:v>
                </c:pt>
                <c:pt idx="6">
                  <c:v>1031.0321900000001</c:v>
                </c:pt>
                <c:pt idx="7">
                  <c:v>1233.4117000000001</c:v>
                </c:pt>
                <c:pt idx="8">
                  <c:v>1330.3843300000001</c:v>
                </c:pt>
                <c:pt idx="9">
                  <c:v>1455.76836</c:v>
                </c:pt>
                <c:pt idx="10">
                  <c:v>1495.3931</c:v>
                </c:pt>
                <c:pt idx="11">
                  <c:v>1654.7126500000002</c:v>
                </c:pt>
              </c:numCache>
            </c:numRef>
          </c:val>
          <c:smooth val="0"/>
          <c:extLst>
            <c:ext xmlns:c16="http://schemas.microsoft.com/office/drawing/2014/chart" uri="{C3380CC4-5D6E-409C-BE32-E72D297353CC}">
              <c16:uniqueId val="{00000002-872D-4683-B867-5478FAE00787}"/>
            </c:ext>
          </c:extLst>
        </c:ser>
        <c:ser>
          <c:idx val="2"/>
          <c:order val="2"/>
          <c:tx>
            <c:strRef>
              <c:f>Sheet1!$D$1</c:f>
              <c:strCache>
                <c:ptCount val="1"/>
                <c:pt idx="0">
                  <c:v>2024</c:v>
                </c:pt>
              </c:strCache>
            </c:strRef>
          </c:tx>
          <c:spPr>
            <a:ln w="28575" cap="rnd">
              <a:solidFill>
                <a:schemeClr val="accent1">
                  <a:lumMod val="60000"/>
                  <a:lumOff val="40000"/>
                </a:schemeClr>
              </a:solidFill>
              <a:prstDash val="sysDash"/>
              <a:round/>
            </a:ln>
            <a:effectLst/>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Cache>
                <c:formatCode>0.0</c:formatCode>
                <c:ptCount val="12"/>
                <c:pt idx="0">
                  <c:v>32.822600000000001</c:v>
                </c:pt>
                <c:pt idx="1">
                  <c:v>153.86497</c:v>
                </c:pt>
                <c:pt idx="2">
                  <c:v>278.55962</c:v>
                </c:pt>
                <c:pt idx="3">
                  <c:v>327.52072999999996</c:v>
                </c:pt>
                <c:pt idx="4">
                  <c:v>449.36702000000002</c:v>
                </c:pt>
                <c:pt idx="5">
                  <c:v>595.40819999999997</c:v>
                </c:pt>
                <c:pt idx="6">
                  <c:v>758.68880999999999</c:v>
                </c:pt>
                <c:pt idx="7">
                  <c:v>790.74393999999995</c:v>
                </c:pt>
                <c:pt idx="8">
                  <c:v>887.98018999999999</c:v>
                </c:pt>
                <c:pt idx="9">
                  <c:v>1047.9971599999999</c:v>
                </c:pt>
                <c:pt idx="10">
                  <c:v>1124.4194299999999</c:v>
                </c:pt>
                <c:pt idx="11">
                  <c:v>1509.3740999999998</c:v>
                </c:pt>
              </c:numCache>
            </c:numRef>
          </c:val>
          <c:smooth val="0"/>
          <c:extLst>
            <c:ext xmlns:c16="http://schemas.microsoft.com/office/drawing/2014/chart" uri="{C3380CC4-5D6E-409C-BE32-E72D297353CC}">
              <c16:uniqueId val="{00000003-872D-4683-B867-5478FAE00787}"/>
            </c:ext>
          </c:extLst>
        </c:ser>
        <c:ser>
          <c:idx val="3"/>
          <c:order val="3"/>
          <c:tx>
            <c:strRef>
              <c:f>Sheet1!$E$1</c:f>
              <c:strCache>
                <c:ptCount val="1"/>
                <c:pt idx="0">
                  <c:v>2025</c:v>
                </c:pt>
              </c:strCache>
            </c:strRef>
          </c:tx>
          <c:spPr>
            <a:ln w="28575" cap="rnd">
              <a:solidFill>
                <a:schemeClr val="accent3">
                  <a:lumMod val="60000"/>
                  <a:lumOff val="40000"/>
                </a:schemeClr>
              </a:solidFill>
              <a:round/>
            </a:ln>
            <a:effectLst/>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Cache>
                <c:formatCode>0.0</c:formatCode>
                <c:ptCount val="12"/>
                <c:pt idx="0">
                  <c:v>18.70975</c:v>
                </c:pt>
                <c:pt idx="1">
                  <c:v>87.531809999999993</c:v>
                </c:pt>
                <c:pt idx="2">
                  <c:v>143.68816999999999</c:v>
                </c:pt>
                <c:pt idx="3">
                  <c:v>273.40594999999996</c:v>
                </c:pt>
                <c:pt idx="4">
                  <c:v>511.72212000000002</c:v>
                </c:pt>
                <c:pt idx="5">
                  <c:v>587.61704000000009</c:v>
                </c:pt>
                <c:pt idx="6">
                  <c:v>716.61896000000013</c:v>
                </c:pt>
                <c:pt idx="7">
                  <c:v>889.32521000000008</c:v>
                </c:pt>
                <c:pt idx="8">
                  <c:v>1025.4422</c:v>
                </c:pt>
                <c:pt idx="9">
                  <c:v>1147.5584000000001</c:v>
                </c:pt>
                <c:pt idx="10">
                  <c:v>1324.4709400000002</c:v>
                </c:pt>
                <c:pt idx="11">
                  <c:v>1639.52883</c:v>
                </c:pt>
              </c:numCache>
            </c:numRef>
          </c:val>
          <c:smooth val="0"/>
          <c:extLst>
            <c:ext xmlns:c16="http://schemas.microsoft.com/office/drawing/2014/chart" uri="{C3380CC4-5D6E-409C-BE32-E72D297353CC}">
              <c16:uniqueId val="{00000004-872D-4683-B867-5478FAE00787}"/>
            </c:ext>
          </c:extLst>
        </c:ser>
        <c:dLbls>
          <c:showLegendKey val="0"/>
          <c:showVal val="0"/>
          <c:showCatName val="0"/>
          <c:showSerName val="0"/>
          <c:showPercent val="0"/>
          <c:showBubbleSize val="0"/>
        </c:dLbls>
        <c:marker val="1"/>
        <c:smooth val="0"/>
        <c:axId val="1676873312"/>
        <c:axId val="1676875392"/>
      </c:lineChart>
      <c:catAx>
        <c:axId val="1676873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676875392"/>
        <c:crosses val="autoZero"/>
        <c:auto val="1"/>
        <c:lblAlgn val="ctr"/>
        <c:lblOffset val="100"/>
        <c:noMultiLvlLbl val="0"/>
      </c:catAx>
      <c:valAx>
        <c:axId val="167687539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676873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213306001465693"/>
          <c:y val="0.10922464609956541"/>
          <c:w val="0.79432298567978588"/>
          <c:h val="0.57743812243249826"/>
        </c:manualLayout>
      </c:layout>
      <c:barChart>
        <c:barDir val="col"/>
        <c:grouping val="stacked"/>
        <c:varyColors val="0"/>
        <c:ser>
          <c:idx val="1"/>
          <c:order val="0"/>
          <c:tx>
            <c:strRef>
              <c:f>Sheet1!$C$1</c:f>
              <c:strCache>
                <c:ptCount val="1"/>
                <c:pt idx="0">
                  <c:v>Դոլար</c:v>
                </c:pt>
              </c:strCache>
            </c:strRef>
          </c:tx>
          <c:spPr>
            <a:solidFill>
              <a:sysClr val="window" lastClr="FFFFFF">
                <a:lumMod val="50000"/>
              </a:sysClr>
            </a:solidFill>
            <a:ln>
              <a:noFill/>
            </a:ln>
            <a:effectLst>
              <a:outerShdw blurRad="40000" dist="23000" dir="5400000" rotWithShape="0">
                <a:srgbClr val="000000">
                  <a:alpha val="35000"/>
                </a:srgbClr>
              </a:outerShdw>
            </a:effectLst>
          </c:spPr>
          <c:invertIfNegative val="0"/>
          <c:cat>
            <c:multiLvlStrRef>
              <c:f>Sheet1!$A$2:$B$35</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Sheet1!$C$2:$C$37</c:f>
              <c:numCache>
                <c:formatCode>0</c:formatCode>
                <c:ptCount val="22"/>
                <c:pt idx="0">
                  <c:v>-44.764182000000062</c:v>
                </c:pt>
                <c:pt idx="1">
                  <c:v>-47.872495999999956</c:v>
                </c:pt>
                <c:pt idx="2">
                  <c:v>-37.628922000000017</c:v>
                </c:pt>
                <c:pt idx="3">
                  <c:v>22.342673000000104</c:v>
                </c:pt>
                <c:pt idx="4">
                  <c:v>82.827041122292655</c:v>
                </c:pt>
                <c:pt idx="5">
                  <c:v>-50.18449343652253</c:v>
                </c:pt>
                <c:pt idx="6">
                  <c:v>-228.23183459037764</c:v>
                </c:pt>
                <c:pt idx="7">
                  <c:v>-326.58099857808588</c:v>
                </c:pt>
                <c:pt idx="8">
                  <c:v>-198.37948549629041</c:v>
                </c:pt>
                <c:pt idx="9">
                  <c:v>-28.113131581315599</c:v>
                </c:pt>
                <c:pt idx="10">
                  <c:v>-65.451362078463404</c:v>
                </c:pt>
                <c:pt idx="11">
                  <c:v>-277.075267131891</c:v>
                </c:pt>
                <c:pt idx="12">
                  <c:v>-316.72390526903303</c:v>
                </c:pt>
                <c:pt idx="13">
                  <c:v>-445.3869904856632</c:v>
                </c:pt>
                <c:pt idx="14">
                  <c:v>-336.34744169712991</c:v>
                </c:pt>
                <c:pt idx="15">
                  <c:v>-186.17634767990333</c:v>
                </c:pt>
                <c:pt idx="16">
                  <c:v>-274.18427546061059</c:v>
                </c:pt>
                <c:pt idx="17">
                  <c:v>-483.31697861144607</c:v>
                </c:pt>
                <c:pt idx="18">
                  <c:v>-348.39246185011223</c:v>
                </c:pt>
                <c:pt idx="19">
                  <c:v>-93.997638661709914</c:v>
                </c:pt>
                <c:pt idx="20">
                  <c:v>-105.42515131514995</c:v>
                </c:pt>
                <c:pt idx="21">
                  <c:v>-124.52332347672944</c:v>
                </c:pt>
              </c:numCache>
            </c:numRef>
          </c:val>
          <c:extLst>
            <c:ext xmlns:c16="http://schemas.microsoft.com/office/drawing/2014/chart" uri="{C3380CC4-5D6E-409C-BE32-E72D297353CC}">
              <c16:uniqueId val="{00000000-78B9-4C8F-9E8F-18A0AF36E07B}"/>
            </c:ext>
          </c:extLst>
        </c:ser>
        <c:ser>
          <c:idx val="2"/>
          <c:order val="1"/>
          <c:tx>
            <c:strRef>
              <c:f>Sheet1!$D$1</c:f>
              <c:strCache>
                <c:ptCount val="1"/>
                <c:pt idx="0">
                  <c:v>Եվրո</c:v>
                </c:pt>
              </c:strCache>
            </c:strRef>
          </c:tx>
          <c:spPr>
            <a:solidFill>
              <a:srgbClr val="F79646">
                <a:lumMod val="60000"/>
                <a:lumOff val="40000"/>
              </a:srgbClr>
            </a:solidFill>
            <a:ln>
              <a:noFill/>
            </a:ln>
            <a:effectLst>
              <a:outerShdw blurRad="40000" dist="23000" dir="5400000" rotWithShape="0">
                <a:srgbClr val="000000">
                  <a:alpha val="35000"/>
                </a:srgbClr>
              </a:outerShdw>
            </a:effectLst>
          </c:spPr>
          <c:invertIfNegative val="0"/>
          <c:cat>
            <c:multiLvlStrRef>
              <c:f>Sheet1!$A$2:$B$35</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Sheet1!$D$2:$D$37</c:f>
              <c:numCache>
                <c:formatCode>0</c:formatCode>
                <c:ptCount val="22"/>
                <c:pt idx="0">
                  <c:v>-37.588152999999991</c:v>
                </c:pt>
                <c:pt idx="1">
                  <c:v>-44.314930999999994</c:v>
                </c:pt>
                <c:pt idx="2">
                  <c:v>-3.6870990000000035</c:v>
                </c:pt>
                <c:pt idx="3">
                  <c:v>-47.701574000000008</c:v>
                </c:pt>
                <c:pt idx="4">
                  <c:v>38.055483617751023</c:v>
                </c:pt>
                <c:pt idx="5">
                  <c:v>-116.1097406218162</c:v>
                </c:pt>
                <c:pt idx="6">
                  <c:v>-151.48745476086947</c:v>
                </c:pt>
                <c:pt idx="7">
                  <c:v>-157.53865432476795</c:v>
                </c:pt>
                <c:pt idx="8">
                  <c:v>-174.38011295565173</c:v>
                </c:pt>
                <c:pt idx="9">
                  <c:v>-140.58972851489443</c:v>
                </c:pt>
                <c:pt idx="10">
                  <c:v>-123.25717668806097</c:v>
                </c:pt>
                <c:pt idx="11">
                  <c:v>-66.186420115155897</c:v>
                </c:pt>
                <c:pt idx="12">
                  <c:v>-260.11307755782582</c:v>
                </c:pt>
                <c:pt idx="13">
                  <c:v>-268.20698948128222</c:v>
                </c:pt>
                <c:pt idx="14">
                  <c:v>-191.93912526345309</c:v>
                </c:pt>
                <c:pt idx="15">
                  <c:v>-95.00717477615531</c:v>
                </c:pt>
                <c:pt idx="16">
                  <c:v>-195.15619736876815</c:v>
                </c:pt>
                <c:pt idx="17">
                  <c:v>-124.24626380965083</c:v>
                </c:pt>
                <c:pt idx="18">
                  <c:v>-107.03368436569612</c:v>
                </c:pt>
                <c:pt idx="19">
                  <c:v>-104.21024619901783</c:v>
                </c:pt>
                <c:pt idx="20">
                  <c:v>-75.446482952843212</c:v>
                </c:pt>
                <c:pt idx="21">
                  <c:v>-48.502556219002798</c:v>
                </c:pt>
              </c:numCache>
            </c:numRef>
          </c:val>
          <c:extLst>
            <c:ext xmlns:c16="http://schemas.microsoft.com/office/drawing/2014/chart" uri="{C3380CC4-5D6E-409C-BE32-E72D297353CC}">
              <c16:uniqueId val="{00000001-78B9-4C8F-9E8F-18A0AF36E07B}"/>
            </c:ext>
          </c:extLst>
        </c:ser>
        <c:ser>
          <c:idx val="3"/>
          <c:order val="2"/>
          <c:tx>
            <c:strRef>
              <c:f>Sheet1!$E$1</c:f>
              <c:strCache>
                <c:ptCount val="1"/>
                <c:pt idx="0">
                  <c:v>Ռուբլի</c:v>
                </c:pt>
              </c:strCache>
            </c:strRef>
          </c:tx>
          <c:spPr>
            <a:solidFill>
              <a:srgbClr val="4F81BD">
                <a:lumMod val="75000"/>
              </a:srgbClr>
            </a:solidFill>
          </c:spPr>
          <c:invertIfNegative val="0"/>
          <c:cat>
            <c:multiLvlStrRef>
              <c:f>Sheet1!$A$2:$B$35</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Sheet1!$E$2:$E$37</c:f>
              <c:numCache>
                <c:formatCode>0</c:formatCode>
                <c:ptCount val="22"/>
                <c:pt idx="0">
                  <c:v>5.1814139999999966</c:v>
                </c:pt>
                <c:pt idx="1">
                  <c:v>56.355378999999999</c:v>
                </c:pt>
                <c:pt idx="2">
                  <c:v>9.5786869999999951</c:v>
                </c:pt>
                <c:pt idx="3">
                  <c:v>13.216616999999999</c:v>
                </c:pt>
                <c:pt idx="4">
                  <c:v>-31.598552698007609</c:v>
                </c:pt>
                <c:pt idx="5">
                  <c:v>190.46627119187258</c:v>
                </c:pt>
                <c:pt idx="6">
                  <c:v>423.24379297671146</c:v>
                </c:pt>
                <c:pt idx="7">
                  <c:v>550.39308050890099</c:v>
                </c:pt>
                <c:pt idx="8">
                  <c:v>436.38517693931055</c:v>
                </c:pt>
                <c:pt idx="9">
                  <c:v>376.39776191044848</c:v>
                </c:pt>
                <c:pt idx="10">
                  <c:v>295.20506021620588</c:v>
                </c:pt>
                <c:pt idx="11">
                  <c:v>329.02931109999389</c:v>
                </c:pt>
                <c:pt idx="12">
                  <c:v>510.11131165943925</c:v>
                </c:pt>
                <c:pt idx="13">
                  <c:v>756.80093481593372</c:v>
                </c:pt>
                <c:pt idx="14">
                  <c:v>585.80935789113983</c:v>
                </c:pt>
                <c:pt idx="15">
                  <c:v>252.97979954024794</c:v>
                </c:pt>
                <c:pt idx="16">
                  <c:v>509.8131998896074</c:v>
                </c:pt>
                <c:pt idx="17">
                  <c:v>802.22652830473851</c:v>
                </c:pt>
                <c:pt idx="18">
                  <c:v>626.5788885212886</c:v>
                </c:pt>
                <c:pt idx="19">
                  <c:v>364.8998661785842</c:v>
                </c:pt>
                <c:pt idx="20">
                  <c:v>248.33658087017972</c:v>
                </c:pt>
                <c:pt idx="21">
                  <c:v>422.06767014727444</c:v>
                </c:pt>
              </c:numCache>
            </c:numRef>
          </c:val>
          <c:extLst>
            <c:ext xmlns:c16="http://schemas.microsoft.com/office/drawing/2014/chart" uri="{C3380CC4-5D6E-409C-BE32-E72D297353CC}">
              <c16:uniqueId val="{00000002-78B9-4C8F-9E8F-18A0AF36E07B}"/>
            </c:ext>
          </c:extLst>
        </c:ser>
        <c:dLbls>
          <c:showLegendKey val="0"/>
          <c:showVal val="0"/>
          <c:showCatName val="0"/>
          <c:showSerName val="0"/>
          <c:showPercent val="0"/>
          <c:showBubbleSize val="0"/>
        </c:dLbls>
        <c:gapWidth val="100"/>
        <c:overlap val="100"/>
        <c:axId val="806771312"/>
        <c:axId val="1"/>
      </c:barChart>
      <c:lineChart>
        <c:grouping val="standard"/>
        <c:varyColors val="0"/>
        <c:ser>
          <c:idx val="0"/>
          <c:order val="3"/>
          <c:tx>
            <c:strRef>
              <c:f>Sheet1!$F$1</c:f>
              <c:strCache>
                <c:ptCount val="1"/>
                <c:pt idx="0">
                  <c:v>Զուտ առք</c:v>
                </c:pt>
              </c:strCache>
            </c:strRef>
          </c:tx>
          <c:spPr>
            <a:ln>
              <a:solidFill>
                <a:sysClr val="windowText" lastClr="000000"/>
              </a:solidFill>
            </a:ln>
          </c:spPr>
          <c:marker>
            <c:symbol val="none"/>
          </c:marker>
          <c:cat>
            <c:multiLvlStrRef>
              <c:f>Sheet1!$A$2:$B$37</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Sheet1!$F$2:$F$37</c:f>
              <c:numCache>
                <c:formatCode>0</c:formatCode>
                <c:ptCount val="22"/>
                <c:pt idx="0">
                  <c:v>-77.17092100000005</c:v>
                </c:pt>
                <c:pt idx="1">
                  <c:v>-35.832047999999958</c:v>
                </c:pt>
                <c:pt idx="2">
                  <c:v>-31.737334000000025</c:v>
                </c:pt>
                <c:pt idx="3">
                  <c:v>-12.142283999999904</c:v>
                </c:pt>
                <c:pt idx="4">
                  <c:v>89.283972042036069</c:v>
                </c:pt>
                <c:pt idx="5">
                  <c:v>24.172037133533848</c:v>
                </c:pt>
                <c:pt idx="6">
                  <c:v>43.524503625464376</c:v>
                </c:pt>
                <c:pt idx="7">
                  <c:v>66.273427606047164</c:v>
                </c:pt>
                <c:pt idx="8">
                  <c:v>63.625578487368443</c:v>
                </c:pt>
                <c:pt idx="9">
                  <c:v>207.69490181423845</c:v>
                </c:pt>
                <c:pt idx="10">
                  <c:v>106.4965214496815</c:v>
                </c:pt>
                <c:pt idx="11">
                  <c:v>-14.232376147053003</c:v>
                </c:pt>
                <c:pt idx="12">
                  <c:v>-66.725671167419591</c:v>
                </c:pt>
                <c:pt idx="13">
                  <c:v>43.206954848988289</c:v>
                </c:pt>
                <c:pt idx="14">
                  <c:v>57.522790930556766</c:v>
                </c:pt>
                <c:pt idx="15">
                  <c:v>-28.203722915810715</c:v>
                </c:pt>
                <c:pt idx="16">
                  <c:v>40.472727060228635</c:v>
                </c:pt>
                <c:pt idx="17">
                  <c:v>194.66328588364161</c:v>
                </c:pt>
                <c:pt idx="18">
                  <c:v>171.15274230548027</c:v>
                </c:pt>
                <c:pt idx="19">
                  <c:v>166.69198131785646</c:v>
                </c:pt>
                <c:pt idx="20">
                  <c:v>67.464946602186558</c:v>
                </c:pt>
                <c:pt idx="21">
                  <c:v>249.0417904515422</c:v>
                </c:pt>
              </c:numCache>
            </c:numRef>
          </c:val>
          <c:smooth val="0"/>
          <c:extLst>
            <c:ext xmlns:c16="http://schemas.microsoft.com/office/drawing/2014/chart" uri="{C3380CC4-5D6E-409C-BE32-E72D297353CC}">
              <c16:uniqueId val="{00000003-78B9-4C8F-9E8F-18A0AF36E07B}"/>
            </c:ext>
          </c:extLst>
        </c:ser>
        <c:dLbls>
          <c:showLegendKey val="0"/>
          <c:showVal val="0"/>
          <c:showCatName val="0"/>
          <c:showSerName val="0"/>
          <c:showPercent val="0"/>
          <c:showBubbleSize val="0"/>
        </c:dLbls>
        <c:marker val="1"/>
        <c:smooth val="0"/>
        <c:axId val="806771312"/>
        <c:axId val="1"/>
      </c:lineChart>
      <c:catAx>
        <c:axId val="806771312"/>
        <c:scaling>
          <c:orientation val="minMax"/>
        </c:scaling>
        <c:delete val="0"/>
        <c:axPos val="b"/>
        <c:numFmt formatCode="General" sourceLinked="1"/>
        <c:majorTickMark val="none"/>
        <c:minorTickMark val="none"/>
        <c:tickLblPos val="low"/>
        <c:spPr>
          <a:solidFill>
            <a:sysClr val="window" lastClr="FFFFFF"/>
          </a:solidFill>
          <a:ln w="9545" cap="flat" cmpd="sng" algn="ctr">
            <a:solidFill>
              <a:srgbClr val="1F497D">
                <a:lumMod val="15000"/>
                <a:lumOff val="85000"/>
              </a:srgbClr>
            </a:solidFill>
            <a:round/>
          </a:ln>
          <a:effectLst/>
        </c:spPr>
        <c:txPr>
          <a:bodyPr rot="-60000000" vert="horz"/>
          <a:lstStyle/>
          <a:p>
            <a:pPr>
              <a:defRPr sz="900"/>
            </a:pPr>
            <a:endParaRPr lang="en-US"/>
          </a:p>
        </c:txPr>
        <c:crossAx val="1"/>
        <c:crosses val="autoZero"/>
        <c:auto val="1"/>
        <c:lblAlgn val="ctr"/>
        <c:lblOffset val="200"/>
        <c:tickLblSkip val="1"/>
        <c:noMultiLvlLbl val="0"/>
      </c:catAx>
      <c:valAx>
        <c:axId val="1"/>
        <c:scaling>
          <c:orientation val="minMax"/>
          <c:max val="700"/>
          <c:min val="-800"/>
        </c:scaling>
        <c:delete val="0"/>
        <c:axPos val="l"/>
        <c:majorGridlines>
          <c:spPr>
            <a:ln w="9545" cap="flat" cmpd="sng" algn="ctr">
              <a:solidFill>
                <a:sysClr val="window" lastClr="FFFFFF">
                  <a:lumMod val="75000"/>
                </a:sysClr>
              </a:solidFill>
              <a:round/>
            </a:ln>
            <a:effectLst/>
          </c:spPr>
        </c:majorGridlines>
        <c:title>
          <c:tx>
            <c:rich>
              <a:bodyPr/>
              <a:lstStyle/>
              <a:p>
                <a:pPr>
                  <a:defRPr b="0"/>
                </a:pPr>
                <a:r>
                  <a:rPr lang="hy-AM" sz="1000" b="0" i="0" u="none" strike="noStrike" baseline="0">
                    <a:effectLst/>
                  </a:rPr>
                  <a:t>Մլրդ դրամ</a:t>
                </a:r>
                <a:endParaRPr lang="en-US" b="0"/>
              </a:p>
            </c:rich>
          </c:tx>
          <c:overlay val="0"/>
        </c:title>
        <c:numFmt formatCode="0" sourceLinked="1"/>
        <c:majorTickMark val="none"/>
        <c:minorTickMark val="none"/>
        <c:tickLblPos val="nextTo"/>
        <c:spPr>
          <a:ln w="9545">
            <a:noFill/>
          </a:ln>
        </c:spPr>
        <c:txPr>
          <a:bodyPr rot="-60000000" vert="horz"/>
          <a:lstStyle/>
          <a:p>
            <a:pPr>
              <a:defRPr sz="900"/>
            </a:pPr>
            <a:endParaRPr lang="en-US"/>
          </a:p>
        </c:txPr>
        <c:crossAx val="806771312"/>
        <c:crosses val="autoZero"/>
        <c:crossBetween val="between"/>
      </c:valAx>
      <c:spPr>
        <a:solidFill>
          <a:schemeClr val="bg1"/>
        </a:solidFill>
        <a:ln>
          <a:noFill/>
        </a:ln>
        <a:effectLst/>
      </c:spPr>
    </c:plotArea>
    <c:legend>
      <c:legendPos val="b"/>
      <c:legendEntry>
        <c:idx val="0"/>
        <c:txPr>
          <a:bodyPr rot="0" vert="horz"/>
          <a:lstStyle/>
          <a:p>
            <a:pPr>
              <a:defRPr sz="900" b="1"/>
            </a:pPr>
            <a:endParaRPr lang="en-US"/>
          </a:p>
        </c:txPr>
      </c:legendEntry>
      <c:legendEntry>
        <c:idx val="1"/>
        <c:txPr>
          <a:bodyPr rot="0" vert="horz"/>
          <a:lstStyle/>
          <a:p>
            <a:pPr>
              <a:defRPr sz="900" b="1"/>
            </a:pPr>
            <a:endParaRPr lang="en-US"/>
          </a:p>
        </c:txPr>
      </c:legendEntry>
      <c:legendEntry>
        <c:idx val="3"/>
        <c:txPr>
          <a:bodyPr rot="0" vert="horz"/>
          <a:lstStyle/>
          <a:p>
            <a:pPr>
              <a:defRPr sz="900" b="1"/>
            </a:pPr>
            <a:endParaRPr lang="en-US"/>
          </a:p>
        </c:txPr>
      </c:legendEntry>
      <c:layout>
        <c:manualLayout>
          <c:xMode val="edge"/>
          <c:yMode val="edge"/>
          <c:x val="5.189687951058717E-2"/>
          <c:y val="0.92192246460995653"/>
          <c:w val="0.94810312048941281"/>
          <c:h val="7.8077535390043459E-2"/>
        </c:manualLayout>
      </c:layout>
      <c:overlay val="0"/>
      <c:spPr>
        <a:noFill/>
        <a:ln w="25453">
          <a:noFill/>
        </a:ln>
      </c:spPr>
      <c:txPr>
        <a:bodyPr rot="0" vert="horz"/>
        <a:lstStyle/>
        <a:p>
          <a:pPr>
            <a:defRPr sz="900" b="1"/>
          </a:pPr>
          <a:endParaRPr lang="en-US"/>
        </a:p>
      </c:txPr>
    </c:legend>
    <c:plotVisOnly val="1"/>
    <c:dispBlanksAs val="gap"/>
    <c:showDLblsOverMax val="0"/>
  </c:chart>
  <c:spPr>
    <a:solidFill>
      <a:schemeClr val="bg1"/>
    </a:solidFill>
    <a:ln>
      <a:solidFill>
        <a:sysClr val="window" lastClr="FFFFFF">
          <a:lumMod val="85000"/>
        </a:sysClr>
      </a:solidFill>
    </a:ln>
    <a:effectLst/>
  </c:spPr>
  <c:txPr>
    <a:bodyPr/>
    <a:lstStyle/>
    <a:p>
      <a:pPr>
        <a:defRPr>
          <a:ln>
            <a:noFill/>
          </a:ln>
          <a:solidFill>
            <a:schemeClr val="tx1">
              <a:lumMod val="65000"/>
              <a:lumOff val="35000"/>
            </a:schemeClr>
          </a:solidFill>
          <a:latin typeface="GHEA Grapalat" panose="02000506050000020003" pitchFamily="50" charset="0"/>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2805474912452919"/>
          <c:y val="9.0331207537105523E-2"/>
          <c:w val="0.7429297465137813"/>
          <c:h val="0.55012000043204479"/>
        </c:manualLayout>
      </c:layout>
      <c:barChart>
        <c:barDir val="col"/>
        <c:grouping val="stacked"/>
        <c:varyColors val="0"/>
        <c:ser>
          <c:idx val="0"/>
          <c:order val="0"/>
          <c:tx>
            <c:strRef>
              <c:f>Sheet1!$C$1</c:f>
              <c:strCache>
                <c:ptCount val="1"/>
                <c:pt idx="0">
                  <c:v>ԿԲ միջամտություն, զուտ առք </c:v>
                </c:pt>
              </c:strCache>
            </c:strRef>
          </c:tx>
          <c:spPr>
            <a:solidFill>
              <a:schemeClr val="accent1">
                <a:lumMod val="75000"/>
              </a:schemeClr>
            </a:solidFill>
            <a:ln>
              <a:noFill/>
            </a:ln>
            <a:effectLst/>
          </c:spPr>
          <c:invertIfNegative val="0"/>
          <c:cat>
            <c:multiLvlStrRef>
              <c:f>Sheet1!$A$2:$B$313</c:f>
              <c:multiLvlStrCache>
                <c:ptCount val="6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lvl>
                <c:lvl>
                  <c:pt idx="0">
                    <c:v>2021</c:v>
                  </c:pt>
                  <c:pt idx="12">
                    <c:v>2022</c:v>
                  </c:pt>
                  <c:pt idx="24">
                    <c:v>2023</c:v>
                  </c:pt>
                  <c:pt idx="36">
                    <c:v>2024</c:v>
                  </c:pt>
                  <c:pt idx="48">
                    <c:v>2025</c:v>
                  </c:pt>
                  <c:pt idx="60">
                    <c:v>2026</c:v>
                  </c:pt>
                </c:lvl>
              </c:multiLvlStrCache>
            </c:multiLvlStrRef>
          </c:cat>
          <c:val>
            <c:numRef>
              <c:f>Sheet1!$C$2:$C$313</c:f>
              <c:numCache>
                <c:formatCode>0</c:formatCode>
                <c:ptCount val="66"/>
                <c:pt idx="0">
                  <c:v>-46.8</c:v>
                </c:pt>
                <c:pt idx="1">
                  <c:v>0</c:v>
                </c:pt>
                <c:pt idx="2">
                  <c:v>-34.799999999999997</c:v>
                </c:pt>
                <c:pt idx="3">
                  <c:v>-74.7</c:v>
                </c:pt>
                <c:pt idx="4">
                  <c:v>0</c:v>
                </c:pt>
                <c:pt idx="5">
                  <c:v>7</c:v>
                </c:pt>
                <c:pt idx="6">
                  <c:v>0</c:v>
                </c:pt>
                <c:pt idx="7">
                  <c:v>0</c:v>
                </c:pt>
                <c:pt idx="8">
                  <c:v>10</c:v>
                </c:pt>
                <c:pt idx="9">
                  <c:v>0</c:v>
                </c:pt>
                <c:pt idx="10">
                  <c:v>5</c:v>
                </c:pt>
                <c:pt idx="11">
                  <c:v>0</c:v>
                </c:pt>
                <c:pt idx="12">
                  <c:v>0</c:v>
                </c:pt>
                <c:pt idx="13">
                  <c:v>0</c:v>
                </c:pt>
                <c:pt idx="14">
                  <c:v>0</c:v>
                </c:pt>
                <c:pt idx="15">
                  <c:v>67</c:v>
                </c:pt>
                <c:pt idx="16">
                  <c:v>0</c:v>
                </c:pt>
                <c:pt idx="17">
                  <c:v>100</c:v>
                </c:pt>
                <c:pt idx="18">
                  <c:v>18.5</c:v>
                </c:pt>
                <c:pt idx="19">
                  <c:v>81.3</c:v>
                </c:pt>
                <c:pt idx="20">
                  <c:v>55</c:v>
                </c:pt>
                <c:pt idx="21">
                  <c:v>80</c:v>
                </c:pt>
                <c:pt idx="22">
                  <c:v>114.1</c:v>
                </c:pt>
                <c:pt idx="23">
                  <c:v>57.9</c:v>
                </c:pt>
                <c:pt idx="24">
                  <c:v>0</c:v>
                </c:pt>
                <c:pt idx="25">
                  <c:v>40</c:v>
                </c:pt>
                <c:pt idx="26">
                  <c:v>151.30000000000001</c:v>
                </c:pt>
                <c:pt idx="27">
                  <c:v>181.6</c:v>
                </c:pt>
                <c:pt idx="28">
                  <c:v>209.5</c:v>
                </c:pt>
                <c:pt idx="29">
                  <c:v>198.8</c:v>
                </c:pt>
                <c:pt idx="30">
                  <c:v>230</c:v>
                </c:pt>
                <c:pt idx="31">
                  <c:v>165.3</c:v>
                </c:pt>
                <c:pt idx="32">
                  <c:v>20</c:v>
                </c:pt>
                <c:pt idx="33">
                  <c:v>-50</c:v>
                </c:pt>
                <c:pt idx="34">
                  <c:v>0</c:v>
                </c:pt>
                <c:pt idx="35">
                  <c:v>0</c:v>
                </c:pt>
                <c:pt idx="36">
                  <c:v>0</c:v>
                </c:pt>
                <c:pt idx="37">
                  <c:v>0</c:v>
                </c:pt>
                <c:pt idx="38">
                  <c:v>0</c:v>
                </c:pt>
                <c:pt idx="39">
                  <c:v>20</c:v>
                </c:pt>
                <c:pt idx="40">
                  <c:v>136.5</c:v>
                </c:pt>
                <c:pt idx="41">
                  <c:v>100</c:v>
                </c:pt>
                <c:pt idx="42">
                  <c:v>110</c:v>
                </c:pt>
                <c:pt idx="43">
                  <c:v>132.30000000000001</c:v>
                </c:pt>
                <c:pt idx="44">
                  <c:v>119</c:v>
                </c:pt>
                <c:pt idx="45">
                  <c:v>87.7</c:v>
                </c:pt>
                <c:pt idx="46">
                  <c:v>0</c:v>
                </c:pt>
                <c:pt idx="47">
                  <c:v>0</c:v>
                </c:pt>
                <c:pt idx="48">
                  <c:v>0</c:v>
                </c:pt>
                <c:pt idx="49">
                  <c:v>10</c:v>
                </c:pt>
                <c:pt idx="50">
                  <c:v>84</c:v>
                </c:pt>
                <c:pt idx="51">
                  <c:v>150</c:v>
                </c:pt>
                <c:pt idx="52">
                  <c:v>275.39999999999998</c:v>
                </c:pt>
                <c:pt idx="53">
                  <c:v>230</c:v>
                </c:pt>
                <c:pt idx="54">
                  <c:v>137.5</c:v>
                </c:pt>
                <c:pt idx="55">
                  <c:v>181.7</c:v>
                </c:pt>
                <c:pt idx="56">
                  <c:v>200</c:v>
                </c:pt>
                <c:pt idx="57">
                  <c:v>150</c:v>
                </c:pt>
                <c:pt idx="58">
                  <c:v>197.7</c:v>
                </c:pt>
                <c:pt idx="59">
                  <c:v>180</c:v>
                </c:pt>
                <c:pt idx="60">
                  <c:v>255.1</c:v>
                </c:pt>
                <c:pt idx="61">
                  <c:v>316.8</c:v>
                </c:pt>
                <c:pt idx="62">
                  <c:v>31.2</c:v>
                </c:pt>
                <c:pt idx="63">
                  <c:v>160</c:v>
                </c:pt>
                <c:pt idx="64">
                  <c:v>219.9</c:v>
                </c:pt>
                <c:pt idx="65">
                  <c:v>178.1</c:v>
                </c:pt>
              </c:numCache>
            </c:numRef>
          </c:val>
          <c:extLst>
            <c:ext xmlns:c16="http://schemas.microsoft.com/office/drawing/2014/chart" uri="{C3380CC4-5D6E-409C-BE32-E72D297353CC}">
              <c16:uniqueId val="{00000000-E439-44E1-89A9-82EF463B21EA}"/>
            </c:ext>
          </c:extLst>
        </c:ser>
        <c:dLbls>
          <c:showLegendKey val="0"/>
          <c:showVal val="0"/>
          <c:showCatName val="0"/>
          <c:showSerName val="0"/>
          <c:showPercent val="0"/>
          <c:showBubbleSize val="0"/>
        </c:dLbls>
        <c:gapWidth val="82"/>
        <c:overlap val="78"/>
        <c:axId val="806771728"/>
        <c:axId val="1"/>
      </c:barChart>
      <c:lineChart>
        <c:grouping val="standard"/>
        <c:varyColors val="0"/>
        <c:ser>
          <c:idx val="1"/>
          <c:order val="1"/>
          <c:tx>
            <c:strRef>
              <c:f>Sheet1!$D$1</c:f>
              <c:strCache>
                <c:ptCount val="1"/>
                <c:pt idx="0">
                  <c:v>Դրամ/դոլար (աջ առանցք)</c:v>
                </c:pt>
              </c:strCache>
            </c:strRef>
          </c:tx>
          <c:spPr>
            <a:ln w="28575" cap="rnd">
              <a:solidFill>
                <a:schemeClr val="tx1"/>
              </a:solidFill>
              <a:round/>
            </a:ln>
            <a:effectLst/>
          </c:spPr>
          <c:marker>
            <c:symbol val="none"/>
          </c:marker>
          <c:cat>
            <c:multiLvlStrRef>
              <c:f>Sheet1!$A$2:$B$313</c:f>
              <c:multiLvlStrCache>
                <c:ptCount val="6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lvl>
                <c:lvl>
                  <c:pt idx="0">
                    <c:v>2021</c:v>
                  </c:pt>
                  <c:pt idx="12">
                    <c:v>2022</c:v>
                  </c:pt>
                  <c:pt idx="24">
                    <c:v>2023</c:v>
                  </c:pt>
                  <c:pt idx="36">
                    <c:v>2024</c:v>
                  </c:pt>
                  <c:pt idx="48">
                    <c:v>2025</c:v>
                  </c:pt>
                  <c:pt idx="60">
                    <c:v>2026</c:v>
                  </c:pt>
                </c:lvl>
              </c:multiLvlStrCache>
            </c:multiLvlStrRef>
          </c:cat>
          <c:val>
            <c:numRef>
              <c:f>Sheet1!$D$2:$D$313</c:f>
              <c:numCache>
                <c:formatCode>0</c:formatCode>
                <c:ptCount val="66"/>
                <c:pt idx="0">
                  <c:v>521.20000000000005</c:v>
                </c:pt>
                <c:pt idx="1">
                  <c:v>523.54</c:v>
                </c:pt>
                <c:pt idx="2">
                  <c:v>527.66999999999996</c:v>
                </c:pt>
                <c:pt idx="3">
                  <c:v>525.62</c:v>
                </c:pt>
                <c:pt idx="4">
                  <c:v>521.35</c:v>
                </c:pt>
                <c:pt idx="5">
                  <c:v>513.09</c:v>
                </c:pt>
                <c:pt idx="6">
                  <c:v>490.87</c:v>
                </c:pt>
                <c:pt idx="7">
                  <c:v>491.73</c:v>
                </c:pt>
                <c:pt idx="8">
                  <c:v>488.12</c:v>
                </c:pt>
                <c:pt idx="9">
                  <c:v>479.25</c:v>
                </c:pt>
                <c:pt idx="10">
                  <c:v>477.66</c:v>
                </c:pt>
                <c:pt idx="11">
                  <c:v>485.14</c:v>
                </c:pt>
                <c:pt idx="12">
                  <c:v>481.99</c:v>
                </c:pt>
                <c:pt idx="13">
                  <c:v>480.24</c:v>
                </c:pt>
                <c:pt idx="14">
                  <c:v>496.96</c:v>
                </c:pt>
                <c:pt idx="15">
                  <c:v>470.99</c:v>
                </c:pt>
                <c:pt idx="16">
                  <c:v>456.54</c:v>
                </c:pt>
                <c:pt idx="17">
                  <c:v>422.69</c:v>
                </c:pt>
                <c:pt idx="18">
                  <c:v>411.03</c:v>
                </c:pt>
                <c:pt idx="19">
                  <c:v>405.75</c:v>
                </c:pt>
                <c:pt idx="20">
                  <c:v>409.15</c:v>
                </c:pt>
                <c:pt idx="21">
                  <c:v>402.73</c:v>
                </c:pt>
                <c:pt idx="22">
                  <c:v>395.38</c:v>
                </c:pt>
                <c:pt idx="23">
                  <c:v>394.54</c:v>
                </c:pt>
                <c:pt idx="24">
                  <c:v>395.89</c:v>
                </c:pt>
                <c:pt idx="25">
                  <c:v>393.45</c:v>
                </c:pt>
                <c:pt idx="26">
                  <c:v>388.44</c:v>
                </c:pt>
                <c:pt idx="27">
                  <c:v>387.74</c:v>
                </c:pt>
                <c:pt idx="28">
                  <c:v>386.56</c:v>
                </c:pt>
                <c:pt idx="29">
                  <c:v>386.67</c:v>
                </c:pt>
                <c:pt idx="30">
                  <c:v>386.54</c:v>
                </c:pt>
                <c:pt idx="31">
                  <c:v>386.17</c:v>
                </c:pt>
                <c:pt idx="32">
                  <c:v>386.94</c:v>
                </c:pt>
                <c:pt idx="33">
                  <c:v>404.33</c:v>
                </c:pt>
                <c:pt idx="34">
                  <c:v>402.52</c:v>
                </c:pt>
                <c:pt idx="35">
                  <c:v>404.47</c:v>
                </c:pt>
                <c:pt idx="36">
                  <c:v>404.96</c:v>
                </c:pt>
                <c:pt idx="37">
                  <c:v>404.27</c:v>
                </c:pt>
                <c:pt idx="38">
                  <c:v>400.42</c:v>
                </c:pt>
                <c:pt idx="39">
                  <c:v>390.99</c:v>
                </c:pt>
                <c:pt idx="40">
                  <c:v>387.82</c:v>
                </c:pt>
                <c:pt idx="41">
                  <c:v>388.06</c:v>
                </c:pt>
                <c:pt idx="42">
                  <c:v>388.07</c:v>
                </c:pt>
                <c:pt idx="43">
                  <c:v>388.08</c:v>
                </c:pt>
                <c:pt idx="44">
                  <c:v>387.37</c:v>
                </c:pt>
                <c:pt idx="45">
                  <c:v>387.2</c:v>
                </c:pt>
                <c:pt idx="46">
                  <c:v>388.97</c:v>
                </c:pt>
                <c:pt idx="47">
                  <c:v>396.55</c:v>
                </c:pt>
                <c:pt idx="48">
                  <c:v>397.89</c:v>
                </c:pt>
                <c:pt idx="49">
                  <c:v>395.6</c:v>
                </c:pt>
                <c:pt idx="50">
                  <c:v>392.78</c:v>
                </c:pt>
                <c:pt idx="51">
                  <c:v>390.71</c:v>
                </c:pt>
                <c:pt idx="52">
                  <c:v>386.63</c:v>
                </c:pt>
                <c:pt idx="53">
                  <c:v>384.22</c:v>
                </c:pt>
                <c:pt idx="54">
                  <c:v>384.07</c:v>
                </c:pt>
                <c:pt idx="55">
                  <c:v>383.19</c:v>
                </c:pt>
                <c:pt idx="56">
                  <c:v>382.83</c:v>
                </c:pt>
                <c:pt idx="57">
                  <c:v>382.71</c:v>
                </c:pt>
                <c:pt idx="58">
                  <c:v>381.99</c:v>
                </c:pt>
                <c:pt idx="59">
                  <c:v>381.51</c:v>
                </c:pt>
                <c:pt idx="60">
                  <c:v>379.98</c:v>
                </c:pt>
                <c:pt idx="61">
                  <c:v>377.55</c:v>
                </c:pt>
                <c:pt idx="62">
                  <c:v>377.36</c:v>
                </c:pt>
                <c:pt idx="63">
                  <c:v>374.23</c:v>
                </c:pt>
                <c:pt idx="64">
                  <c:v>368.55</c:v>
                </c:pt>
                <c:pt idx="65">
                  <c:v>368.26</c:v>
                </c:pt>
              </c:numCache>
            </c:numRef>
          </c:val>
          <c:smooth val="0"/>
          <c:extLst>
            <c:ext xmlns:c16="http://schemas.microsoft.com/office/drawing/2014/chart" uri="{C3380CC4-5D6E-409C-BE32-E72D297353CC}">
              <c16:uniqueId val="{00000001-E439-44E1-89A9-82EF463B21EA}"/>
            </c:ext>
          </c:extLst>
        </c:ser>
        <c:dLbls>
          <c:showLegendKey val="0"/>
          <c:showVal val="0"/>
          <c:showCatName val="0"/>
          <c:showSerName val="0"/>
          <c:showPercent val="0"/>
          <c:showBubbleSize val="0"/>
        </c:dLbls>
        <c:marker val="1"/>
        <c:smooth val="0"/>
        <c:axId val="540092544"/>
        <c:axId val="540084224"/>
      </c:lineChart>
      <c:catAx>
        <c:axId val="8067717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0"/>
        <c:tickLblSkip val="1"/>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r>
                  <a:rPr lang="hy-AM" sz="800"/>
                  <a:t>Մլն դրամ</a:t>
                </a:r>
                <a:endParaRPr lang="en-US" sz="800"/>
              </a:p>
            </c:rich>
          </c:tx>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771728"/>
        <c:crosses val="autoZero"/>
        <c:crossBetween val="between"/>
      </c:valAx>
      <c:valAx>
        <c:axId val="540084224"/>
        <c:scaling>
          <c:orientation val="minMax"/>
          <c:min val="300"/>
        </c:scaling>
        <c:delete val="0"/>
        <c:axPos val="r"/>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r>
                  <a:rPr lang="hy-AM" sz="800"/>
                  <a:t>Դրամ</a:t>
                </a:r>
                <a:endParaRPr lang="en-US" sz="800"/>
              </a:p>
            </c:rich>
          </c:tx>
          <c:layout>
            <c:manualLayout>
              <c:xMode val="edge"/>
              <c:yMode val="edge"/>
              <c:x val="0.9458654803428086"/>
              <c:y val="0.31482885626950957"/>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40092544"/>
        <c:crosses val="max"/>
        <c:crossBetween val="between"/>
      </c:valAx>
      <c:catAx>
        <c:axId val="540092544"/>
        <c:scaling>
          <c:orientation val="minMax"/>
        </c:scaling>
        <c:delete val="1"/>
        <c:axPos val="b"/>
        <c:numFmt formatCode="General" sourceLinked="1"/>
        <c:majorTickMark val="out"/>
        <c:minorTickMark val="none"/>
        <c:tickLblPos val="nextTo"/>
        <c:crossAx val="540084224"/>
        <c:crosses val="autoZero"/>
        <c:auto val="1"/>
        <c:lblAlgn val="ctr"/>
        <c:lblOffset val="100"/>
        <c:noMultiLvlLbl val="0"/>
      </c:catAx>
      <c:spPr>
        <a:noFill/>
        <a:ln>
          <a:noFill/>
        </a:ln>
        <a:effectLst/>
      </c:spPr>
    </c:plotArea>
    <c:legend>
      <c:legendPos val="b"/>
      <c:layout>
        <c:manualLayout>
          <c:xMode val="edge"/>
          <c:yMode val="edge"/>
          <c:x val="2.2215476077538501E-2"/>
          <c:y val="0.84842347575405541"/>
          <c:w val="0.96435885273376976"/>
          <c:h val="0.136719980314960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ysClr val="window" lastClr="FFFFFF">
          <a:lumMod val="85000"/>
        </a:sys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9.0331207537105523E-2"/>
          <c:w val="0.86669502325071102"/>
          <c:h val="0.59612046339035207"/>
        </c:manualLayout>
      </c:layout>
      <c:lineChart>
        <c:grouping val="standard"/>
        <c:varyColors val="0"/>
        <c:ser>
          <c:idx val="2"/>
          <c:order val="0"/>
          <c:tx>
            <c:strRef>
              <c:f>Sheet1!$C$1</c:f>
              <c:strCache>
                <c:ptCount val="1"/>
                <c:pt idx="0">
                  <c:v>Դոլար</c:v>
                </c:pt>
              </c:strCache>
            </c:strRef>
          </c:tx>
          <c:spPr>
            <a:ln w="28575" cap="rnd">
              <a:solidFill>
                <a:schemeClr val="accent5"/>
              </a:solidFill>
              <a:round/>
            </a:ln>
            <a:effectLst/>
          </c:spPr>
          <c:marker>
            <c:symbol val="none"/>
          </c:marker>
          <c:cat>
            <c:multiLvlStrRef>
              <c:f>Sheet1!$A$2:$B$109</c:f>
              <c:multiLvlStrCache>
                <c:ptCount val="6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lvl>
                <c:lvl>
                  <c:pt idx="0">
                    <c:v>2021</c:v>
                  </c:pt>
                  <c:pt idx="12">
                    <c:v>2022</c:v>
                  </c:pt>
                  <c:pt idx="24">
                    <c:v>2023</c:v>
                  </c:pt>
                  <c:pt idx="36">
                    <c:v>2024</c:v>
                  </c:pt>
                  <c:pt idx="48">
                    <c:v>2025</c:v>
                  </c:pt>
                  <c:pt idx="60">
                    <c:v>2026</c:v>
                  </c:pt>
                </c:lvl>
              </c:multiLvlStrCache>
            </c:multiLvlStrRef>
          </c:cat>
          <c:val>
            <c:numRef>
              <c:f>Sheet1!$C$2:$C$109</c:f>
              <c:numCache>
                <c:formatCode>_(* #,##0_);_(* \(#,##0\);_(* "-"??_);_(@_)</c:formatCode>
                <c:ptCount val="66"/>
                <c:pt idx="0">
                  <c:v>521.20000000000005</c:v>
                </c:pt>
                <c:pt idx="1">
                  <c:v>523.54</c:v>
                </c:pt>
                <c:pt idx="2">
                  <c:v>527.66999999999996</c:v>
                </c:pt>
                <c:pt idx="3">
                  <c:v>525.62</c:v>
                </c:pt>
                <c:pt idx="4">
                  <c:v>521.35</c:v>
                </c:pt>
                <c:pt idx="5">
                  <c:v>513.09</c:v>
                </c:pt>
                <c:pt idx="6">
                  <c:v>490.87</c:v>
                </c:pt>
                <c:pt idx="7">
                  <c:v>491.73</c:v>
                </c:pt>
                <c:pt idx="8">
                  <c:v>488.12</c:v>
                </c:pt>
                <c:pt idx="9">
                  <c:v>479.25</c:v>
                </c:pt>
                <c:pt idx="10">
                  <c:v>477.66</c:v>
                </c:pt>
                <c:pt idx="11">
                  <c:v>485.14</c:v>
                </c:pt>
                <c:pt idx="12">
                  <c:v>481.99</c:v>
                </c:pt>
                <c:pt idx="13">
                  <c:v>480.24</c:v>
                </c:pt>
                <c:pt idx="14">
                  <c:v>496.96</c:v>
                </c:pt>
                <c:pt idx="15">
                  <c:v>470.99</c:v>
                </c:pt>
                <c:pt idx="16">
                  <c:v>456.54</c:v>
                </c:pt>
                <c:pt idx="17">
                  <c:v>422.69</c:v>
                </c:pt>
                <c:pt idx="18">
                  <c:v>411.03</c:v>
                </c:pt>
                <c:pt idx="19">
                  <c:v>405.75</c:v>
                </c:pt>
                <c:pt idx="20">
                  <c:v>409.15</c:v>
                </c:pt>
                <c:pt idx="21">
                  <c:v>402.73</c:v>
                </c:pt>
                <c:pt idx="22">
                  <c:v>395.38</c:v>
                </c:pt>
                <c:pt idx="23">
                  <c:v>394.54</c:v>
                </c:pt>
                <c:pt idx="24">
                  <c:v>395.89</c:v>
                </c:pt>
                <c:pt idx="25">
                  <c:v>393.45</c:v>
                </c:pt>
                <c:pt idx="26">
                  <c:v>388.44</c:v>
                </c:pt>
                <c:pt idx="27">
                  <c:v>387.74</c:v>
                </c:pt>
                <c:pt idx="28">
                  <c:v>386.56</c:v>
                </c:pt>
                <c:pt idx="29">
                  <c:v>386.67</c:v>
                </c:pt>
                <c:pt idx="30">
                  <c:v>386.54</c:v>
                </c:pt>
                <c:pt idx="31">
                  <c:v>386.17</c:v>
                </c:pt>
                <c:pt idx="32">
                  <c:v>386.94</c:v>
                </c:pt>
                <c:pt idx="33">
                  <c:v>404.33</c:v>
                </c:pt>
                <c:pt idx="34">
                  <c:v>402.52</c:v>
                </c:pt>
                <c:pt idx="35">
                  <c:v>404.47</c:v>
                </c:pt>
                <c:pt idx="36">
                  <c:v>404.96</c:v>
                </c:pt>
                <c:pt idx="37">
                  <c:v>404.27</c:v>
                </c:pt>
                <c:pt idx="38">
                  <c:v>400.42</c:v>
                </c:pt>
                <c:pt idx="39">
                  <c:v>390.99</c:v>
                </c:pt>
                <c:pt idx="40">
                  <c:v>387.82</c:v>
                </c:pt>
                <c:pt idx="41">
                  <c:v>388.06</c:v>
                </c:pt>
                <c:pt idx="42">
                  <c:v>388.07</c:v>
                </c:pt>
                <c:pt idx="43">
                  <c:v>388.08</c:v>
                </c:pt>
                <c:pt idx="44">
                  <c:v>387.37</c:v>
                </c:pt>
                <c:pt idx="45">
                  <c:v>387.2</c:v>
                </c:pt>
                <c:pt idx="46">
                  <c:v>388.97</c:v>
                </c:pt>
                <c:pt idx="47">
                  <c:v>396.55</c:v>
                </c:pt>
                <c:pt idx="48">
                  <c:v>397.89</c:v>
                </c:pt>
                <c:pt idx="49">
                  <c:v>395.6</c:v>
                </c:pt>
                <c:pt idx="50">
                  <c:v>392.78</c:v>
                </c:pt>
                <c:pt idx="51">
                  <c:v>390.71</c:v>
                </c:pt>
                <c:pt idx="52">
                  <c:v>386.63</c:v>
                </c:pt>
                <c:pt idx="53">
                  <c:v>384.22</c:v>
                </c:pt>
                <c:pt idx="54">
                  <c:v>384.07</c:v>
                </c:pt>
                <c:pt idx="55">
                  <c:v>383.19</c:v>
                </c:pt>
                <c:pt idx="56">
                  <c:v>382.83</c:v>
                </c:pt>
                <c:pt idx="57">
                  <c:v>382.71</c:v>
                </c:pt>
                <c:pt idx="58">
                  <c:v>381.99</c:v>
                </c:pt>
                <c:pt idx="59">
                  <c:v>381.51</c:v>
                </c:pt>
                <c:pt idx="60">
                  <c:v>379.98</c:v>
                </c:pt>
                <c:pt idx="61">
                  <c:v>377.55</c:v>
                </c:pt>
                <c:pt idx="62">
                  <c:v>377.36</c:v>
                </c:pt>
                <c:pt idx="63">
                  <c:v>374.23</c:v>
                </c:pt>
                <c:pt idx="64">
                  <c:v>368.55</c:v>
                </c:pt>
                <c:pt idx="65">
                  <c:v>368.26</c:v>
                </c:pt>
              </c:numCache>
            </c:numRef>
          </c:val>
          <c:smooth val="0"/>
          <c:extLst>
            <c:ext xmlns:c16="http://schemas.microsoft.com/office/drawing/2014/chart" uri="{C3380CC4-5D6E-409C-BE32-E72D297353CC}">
              <c16:uniqueId val="{00000000-1A7C-4614-87AA-80056A7D5CC7}"/>
            </c:ext>
          </c:extLst>
        </c:ser>
        <c:ser>
          <c:idx val="0"/>
          <c:order val="1"/>
          <c:tx>
            <c:strRef>
              <c:f>Sheet1!$D$1</c:f>
              <c:strCache>
                <c:ptCount val="1"/>
                <c:pt idx="0">
                  <c:v>Եվրո</c:v>
                </c:pt>
              </c:strCache>
            </c:strRef>
          </c:tx>
          <c:spPr>
            <a:ln w="28575" cap="rnd">
              <a:solidFill>
                <a:srgbClr val="1F497D"/>
              </a:solidFill>
              <a:round/>
            </a:ln>
            <a:effectLst/>
          </c:spPr>
          <c:marker>
            <c:symbol val="none"/>
          </c:marker>
          <c:cat>
            <c:multiLvlStrRef>
              <c:f>Sheet1!$A$2:$B$109</c:f>
              <c:multiLvlStrCache>
                <c:ptCount val="6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lvl>
                <c:lvl>
                  <c:pt idx="0">
                    <c:v>2021</c:v>
                  </c:pt>
                  <c:pt idx="12">
                    <c:v>2022</c:v>
                  </c:pt>
                  <c:pt idx="24">
                    <c:v>2023</c:v>
                  </c:pt>
                  <c:pt idx="36">
                    <c:v>2024</c:v>
                  </c:pt>
                  <c:pt idx="48">
                    <c:v>2025</c:v>
                  </c:pt>
                  <c:pt idx="60">
                    <c:v>2026</c:v>
                  </c:pt>
                </c:lvl>
              </c:multiLvlStrCache>
            </c:multiLvlStrRef>
          </c:cat>
          <c:val>
            <c:numRef>
              <c:f>Sheet1!$D$2:$D$109</c:f>
              <c:numCache>
                <c:formatCode>_(* #,##0_);_(* \(#,##0\);_(* "-"??_);_(@_)</c:formatCode>
                <c:ptCount val="66"/>
                <c:pt idx="0">
                  <c:v>633.02</c:v>
                </c:pt>
                <c:pt idx="1">
                  <c:v>633.41999999999996</c:v>
                </c:pt>
                <c:pt idx="2">
                  <c:v>628.03</c:v>
                </c:pt>
                <c:pt idx="3">
                  <c:v>628.44000000000005</c:v>
                </c:pt>
                <c:pt idx="4">
                  <c:v>633.21</c:v>
                </c:pt>
                <c:pt idx="5">
                  <c:v>618.41999999999996</c:v>
                </c:pt>
                <c:pt idx="6">
                  <c:v>580.29</c:v>
                </c:pt>
                <c:pt idx="7">
                  <c:v>578.80999999999995</c:v>
                </c:pt>
                <c:pt idx="8">
                  <c:v>574.82000000000005</c:v>
                </c:pt>
                <c:pt idx="9">
                  <c:v>555.86</c:v>
                </c:pt>
                <c:pt idx="10">
                  <c:v>545.17999999999995</c:v>
                </c:pt>
                <c:pt idx="11">
                  <c:v>548.21</c:v>
                </c:pt>
                <c:pt idx="12">
                  <c:v>546.25</c:v>
                </c:pt>
                <c:pt idx="13">
                  <c:v>544.47</c:v>
                </c:pt>
                <c:pt idx="14">
                  <c:v>547.79999999999995</c:v>
                </c:pt>
                <c:pt idx="15">
                  <c:v>509.88</c:v>
                </c:pt>
                <c:pt idx="16">
                  <c:v>482.99</c:v>
                </c:pt>
                <c:pt idx="17">
                  <c:v>446.99</c:v>
                </c:pt>
                <c:pt idx="18">
                  <c:v>418.36</c:v>
                </c:pt>
                <c:pt idx="19">
                  <c:v>410.96</c:v>
                </c:pt>
                <c:pt idx="20">
                  <c:v>405.41</c:v>
                </c:pt>
                <c:pt idx="21">
                  <c:v>395.78</c:v>
                </c:pt>
                <c:pt idx="22">
                  <c:v>403.14</c:v>
                </c:pt>
                <c:pt idx="23">
                  <c:v>417.71</c:v>
                </c:pt>
                <c:pt idx="24">
                  <c:v>427.28</c:v>
                </c:pt>
                <c:pt idx="25">
                  <c:v>421.68</c:v>
                </c:pt>
                <c:pt idx="26">
                  <c:v>416.08</c:v>
                </c:pt>
                <c:pt idx="27">
                  <c:v>425.09</c:v>
                </c:pt>
                <c:pt idx="28">
                  <c:v>419.8</c:v>
                </c:pt>
                <c:pt idx="29">
                  <c:v>419.13</c:v>
                </c:pt>
                <c:pt idx="30">
                  <c:v>427.81</c:v>
                </c:pt>
                <c:pt idx="31">
                  <c:v>421.3</c:v>
                </c:pt>
                <c:pt idx="32">
                  <c:v>413.53</c:v>
                </c:pt>
                <c:pt idx="33">
                  <c:v>427.01</c:v>
                </c:pt>
                <c:pt idx="34">
                  <c:v>434.88</c:v>
                </c:pt>
                <c:pt idx="35">
                  <c:v>441.5</c:v>
                </c:pt>
                <c:pt idx="36">
                  <c:v>441.39</c:v>
                </c:pt>
                <c:pt idx="37">
                  <c:v>436.26</c:v>
                </c:pt>
                <c:pt idx="38">
                  <c:v>435.1</c:v>
                </c:pt>
                <c:pt idx="39">
                  <c:v>419.62</c:v>
                </c:pt>
                <c:pt idx="40">
                  <c:v>419.36</c:v>
                </c:pt>
                <c:pt idx="41">
                  <c:v>417.56</c:v>
                </c:pt>
                <c:pt idx="42">
                  <c:v>420.88</c:v>
                </c:pt>
                <c:pt idx="43">
                  <c:v>427.32</c:v>
                </c:pt>
                <c:pt idx="44">
                  <c:v>430.28</c:v>
                </c:pt>
                <c:pt idx="45">
                  <c:v>422.29</c:v>
                </c:pt>
                <c:pt idx="46">
                  <c:v>413.34</c:v>
                </c:pt>
                <c:pt idx="47">
                  <c:v>415.3</c:v>
                </c:pt>
                <c:pt idx="48">
                  <c:v>411.86</c:v>
                </c:pt>
                <c:pt idx="49">
                  <c:v>411.92</c:v>
                </c:pt>
                <c:pt idx="50">
                  <c:v>424.52</c:v>
                </c:pt>
                <c:pt idx="51">
                  <c:v>438.46</c:v>
                </c:pt>
                <c:pt idx="52">
                  <c:v>436.08</c:v>
                </c:pt>
                <c:pt idx="53">
                  <c:v>442.55</c:v>
                </c:pt>
                <c:pt idx="54">
                  <c:v>448.69</c:v>
                </c:pt>
                <c:pt idx="55">
                  <c:v>445.8</c:v>
                </c:pt>
                <c:pt idx="56">
                  <c:v>449.17</c:v>
                </c:pt>
                <c:pt idx="57">
                  <c:v>445.38</c:v>
                </c:pt>
                <c:pt idx="58">
                  <c:v>441.35</c:v>
                </c:pt>
                <c:pt idx="59">
                  <c:v>446.83</c:v>
                </c:pt>
                <c:pt idx="60">
                  <c:v>445.17</c:v>
                </c:pt>
                <c:pt idx="61">
                  <c:v>446.49</c:v>
                </c:pt>
                <c:pt idx="62">
                  <c:v>436.07</c:v>
                </c:pt>
                <c:pt idx="63">
                  <c:v>437.66</c:v>
                </c:pt>
                <c:pt idx="64">
                  <c:v>430.38</c:v>
                </c:pt>
                <c:pt idx="65">
                  <c:v>424.2</c:v>
                </c:pt>
              </c:numCache>
            </c:numRef>
          </c:val>
          <c:smooth val="0"/>
          <c:extLst>
            <c:ext xmlns:c16="http://schemas.microsoft.com/office/drawing/2014/chart" uri="{C3380CC4-5D6E-409C-BE32-E72D297353CC}">
              <c16:uniqueId val="{00000001-1A7C-4614-87AA-80056A7D5CC7}"/>
            </c:ext>
          </c:extLst>
        </c:ser>
        <c:dLbls>
          <c:showLegendKey val="0"/>
          <c:showVal val="0"/>
          <c:showCatName val="0"/>
          <c:showSerName val="0"/>
          <c:showPercent val="0"/>
          <c:showBubbleSize val="0"/>
        </c:dLbls>
        <c:marker val="1"/>
        <c:smooth val="0"/>
        <c:axId val="175953408"/>
        <c:axId val="175954944"/>
      </c:lineChart>
      <c:lineChart>
        <c:grouping val="standard"/>
        <c:varyColors val="0"/>
        <c:ser>
          <c:idx val="1"/>
          <c:order val="2"/>
          <c:tx>
            <c:strRef>
              <c:f>Sheet1!$E$1</c:f>
              <c:strCache>
                <c:ptCount val="1"/>
                <c:pt idx="0">
                  <c:v>Ռուբլի, աջ առանցք</c:v>
                </c:pt>
              </c:strCache>
            </c:strRef>
          </c:tx>
          <c:spPr>
            <a:ln w="28575" cap="rnd">
              <a:solidFill>
                <a:srgbClr val="F79646">
                  <a:lumMod val="60000"/>
                  <a:lumOff val="40000"/>
                </a:srgbClr>
              </a:solidFill>
              <a:round/>
            </a:ln>
            <a:effectLst/>
          </c:spPr>
          <c:marker>
            <c:symbol val="none"/>
          </c:marker>
          <c:cat>
            <c:multiLvlStrRef>
              <c:f>Sheet1!$A$2:$B$109</c:f>
              <c:multiLvlStrCache>
                <c:ptCount val="6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lvl>
                <c:lvl>
                  <c:pt idx="0">
                    <c:v>2021</c:v>
                  </c:pt>
                  <c:pt idx="12">
                    <c:v>2022</c:v>
                  </c:pt>
                  <c:pt idx="24">
                    <c:v>2023</c:v>
                  </c:pt>
                  <c:pt idx="36">
                    <c:v>2024</c:v>
                  </c:pt>
                  <c:pt idx="48">
                    <c:v>2025</c:v>
                  </c:pt>
                  <c:pt idx="60">
                    <c:v>2026</c:v>
                  </c:pt>
                </c:lvl>
              </c:multiLvlStrCache>
            </c:multiLvlStrRef>
          </c:cat>
          <c:val>
            <c:numRef>
              <c:f>Sheet1!$E$2:$E$109</c:f>
              <c:numCache>
                <c:formatCode>_(* #,##0.0_);_(* \(#,##0.0\);_(* "-"??_);_(@_)</c:formatCode>
                <c:ptCount val="66"/>
                <c:pt idx="0">
                  <c:v>7.01</c:v>
                </c:pt>
                <c:pt idx="1">
                  <c:v>7.04</c:v>
                </c:pt>
                <c:pt idx="2">
                  <c:v>7.09</c:v>
                </c:pt>
                <c:pt idx="3">
                  <c:v>6.91</c:v>
                </c:pt>
                <c:pt idx="4">
                  <c:v>7.04</c:v>
                </c:pt>
                <c:pt idx="5">
                  <c:v>7.07</c:v>
                </c:pt>
                <c:pt idx="6">
                  <c:v>6.64</c:v>
                </c:pt>
                <c:pt idx="7">
                  <c:v>6.68</c:v>
                </c:pt>
                <c:pt idx="8">
                  <c:v>6.7</c:v>
                </c:pt>
                <c:pt idx="9">
                  <c:v>6.71</c:v>
                </c:pt>
                <c:pt idx="10">
                  <c:v>6.56</c:v>
                </c:pt>
                <c:pt idx="11">
                  <c:v>6.58</c:v>
                </c:pt>
                <c:pt idx="12">
                  <c:v>6.32</c:v>
                </c:pt>
                <c:pt idx="13">
                  <c:v>6.16</c:v>
                </c:pt>
                <c:pt idx="14">
                  <c:v>4.83</c:v>
                </c:pt>
                <c:pt idx="15">
                  <c:v>6.1</c:v>
                </c:pt>
                <c:pt idx="16">
                  <c:v>7.17</c:v>
                </c:pt>
                <c:pt idx="17">
                  <c:v>7.48</c:v>
                </c:pt>
                <c:pt idx="18">
                  <c:v>7.04</c:v>
                </c:pt>
                <c:pt idx="19">
                  <c:v>6.72</c:v>
                </c:pt>
                <c:pt idx="20">
                  <c:v>6.9</c:v>
                </c:pt>
                <c:pt idx="21">
                  <c:v>6.56</c:v>
                </c:pt>
                <c:pt idx="22">
                  <c:v>6.5</c:v>
                </c:pt>
                <c:pt idx="23">
                  <c:v>5.99</c:v>
                </c:pt>
                <c:pt idx="24">
                  <c:v>5.71</c:v>
                </c:pt>
                <c:pt idx="25">
                  <c:v>5.37</c:v>
                </c:pt>
                <c:pt idx="26">
                  <c:v>5.0999999999999996</c:v>
                </c:pt>
                <c:pt idx="27">
                  <c:v>4.78</c:v>
                </c:pt>
                <c:pt idx="28">
                  <c:v>4.88</c:v>
                </c:pt>
                <c:pt idx="29">
                  <c:v>4.63</c:v>
                </c:pt>
                <c:pt idx="30">
                  <c:v>4.2699999999999996</c:v>
                </c:pt>
                <c:pt idx="31">
                  <c:v>4.04</c:v>
                </c:pt>
                <c:pt idx="32">
                  <c:v>4</c:v>
                </c:pt>
                <c:pt idx="33">
                  <c:v>4.18</c:v>
                </c:pt>
                <c:pt idx="34">
                  <c:v>4.46</c:v>
                </c:pt>
                <c:pt idx="35">
                  <c:v>4.45</c:v>
                </c:pt>
                <c:pt idx="36">
                  <c:v>4.54</c:v>
                </c:pt>
                <c:pt idx="37">
                  <c:v>4.41</c:v>
                </c:pt>
                <c:pt idx="38">
                  <c:v>4.3600000000000003</c:v>
                </c:pt>
                <c:pt idx="39">
                  <c:v>4.2</c:v>
                </c:pt>
                <c:pt idx="40">
                  <c:v>4.2699999999999996</c:v>
                </c:pt>
                <c:pt idx="41">
                  <c:v>4.42</c:v>
                </c:pt>
                <c:pt idx="42">
                  <c:v>4.4400000000000004</c:v>
                </c:pt>
                <c:pt idx="43">
                  <c:v>4.38</c:v>
                </c:pt>
                <c:pt idx="44">
                  <c:v>4.24</c:v>
                </c:pt>
                <c:pt idx="45">
                  <c:v>4.0199999999999996</c:v>
                </c:pt>
                <c:pt idx="46">
                  <c:v>3.85</c:v>
                </c:pt>
                <c:pt idx="47">
                  <c:v>3.86</c:v>
                </c:pt>
                <c:pt idx="48">
                  <c:v>3.92</c:v>
                </c:pt>
                <c:pt idx="49">
                  <c:v>4.3</c:v>
                </c:pt>
                <c:pt idx="50">
                  <c:v>4.58</c:v>
                </c:pt>
                <c:pt idx="51">
                  <c:v>4.7</c:v>
                </c:pt>
                <c:pt idx="52">
                  <c:v>4.8</c:v>
                </c:pt>
                <c:pt idx="53">
                  <c:v>4.88</c:v>
                </c:pt>
                <c:pt idx="54">
                  <c:v>4.87</c:v>
                </c:pt>
                <c:pt idx="55">
                  <c:v>4.78</c:v>
                </c:pt>
                <c:pt idx="56">
                  <c:v>4.62</c:v>
                </c:pt>
                <c:pt idx="57">
                  <c:v>4.7300000000000004</c:v>
                </c:pt>
                <c:pt idx="58">
                  <c:v>4.76</c:v>
                </c:pt>
                <c:pt idx="59">
                  <c:v>4.87</c:v>
                </c:pt>
                <c:pt idx="60">
                  <c:v>4.87</c:v>
                </c:pt>
                <c:pt idx="61">
                  <c:v>4.91</c:v>
                </c:pt>
                <c:pt idx="62">
                  <c:v>4.6900000000000004</c:v>
                </c:pt>
                <c:pt idx="63">
                  <c:v>4.87</c:v>
                </c:pt>
                <c:pt idx="64">
                  <c:v>5.0599999999999996</c:v>
                </c:pt>
                <c:pt idx="65">
                  <c:v>4.9800000000000004</c:v>
                </c:pt>
              </c:numCache>
            </c:numRef>
          </c:val>
          <c:smooth val="0"/>
          <c:extLst>
            <c:ext xmlns:c16="http://schemas.microsoft.com/office/drawing/2014/chart" uri="{C3380CC4-5D6E-409C-BE32-E72D297353CC}">
              <c16:uniqueId val="{00000002-1A7C-4614-87AA-80056A7D5CC7}"/>
            </c:ext>
          </c:extLst>
        </c:ser>
        <c:dLbls>
          <c:showLegendKey val="0"/>
          <c:showVal val="0"/>
          <c:showCatName val="0"/>
          <c:showSerName val="0"/>
          <c:showPercent val="0"/>
          <c:showBubbleSize val="0"/>
        </c:dLbls>
        <c:marker val="1"/>
        <c:smooth val="0"/>
        <c:axId val="201155728"/>
        <c:axId val="201163632"/>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1"/>
        <c:lblAlgn val="ctr"/>
        <c:lblOffset val="100"/>
        <c:tickLblSkip val="1"/>
        <c:noMultiLvlLbl val="0"/>
      </c:catAx>
      <c:valAx>
        <c:axId val="175954944"/>
        <c:scaling>
          <c:orientation val="minMax"/>
          <c:min val="30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autoZero"/>
        <c:crossBetween val="between"/>
      </c:valAx>
      <c:valAx>
        <c:axId val="201163632"/>
        <c:scaling>
          <c:orientation val="minMax"/>
        </c:scaling>
        <c:delete val="0"/>
        <c:axPos val="r"/>
        <c:numFmt formatCode="_(* #,##0.0_);_(* \(#,##0.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01155728"/>
        <c:crosses val="max"/>
        <c:crossBetween val="between"/>
      </c:valAx>
      <c:catAx>
        <c:axId val="201155728"/>
        <c:scaling>
          <c:orientation val="minMax"/>
        </c:scaling>
        <c:delete val="1"/>
        <c:axPos val="b"/>
        <c:numFmt formatCode="General" sourceLinked="1"/>
        <c:majorTickMark val="out"/>
        <c:minorTickMark val="none"/>
        <c:tickLblPos val="nextTo"/>
        <c:crossAx val="201163632"/>
        <c:crosses val="autoZero"/>
        <c:auto val="1"/>
        <c:lblAlgn val="ctr"/>
        <c:lblOffset val="100"/>
        <c:noMultiLvlLbl val="0"/>
      </c:catAx>
      <c:spPr>
        <a:noFill/>
        <a:ln>
          <a:noFill/>
        </a:ln>
        <a:effectLst/>
      </c:spPr>
    </c:plotArea>
    <c:legend>
      <c:legendPos val="b"/>
      <c:layout>
        <c:manualLayout>
          <c:xMode val="edge"/>
          <c:yMode val="edge"/>
          <c:x val="5.9999320939449395E-2"/>
          <c:y val="0.90165381576437886"/>
          <c:w val="0.9"/>
          <c:h val="9.8347252048039444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200892609942745"/>
          <c:y val="8.9545756780402455E-2"/>
          <c:w val="0.79986666223684066"/>
          <c:h val="0.65302973491949867"/>
        </c:manualLayout>
      </c:layout>
      <c:lineChart>
        <c:grouping val="standard"/>
        <c:varyColors val="0"/>
        <c:ser>
          <c:idx val="0"/>
          <c:order val="0"/>
          <c:tx>
            <c:strRef>
              <c:f>Sheet1!$D$1</c:f>
              <c:strCache>
                <c:ptCount val="1"/>
                <c:pt idx="0">
                  <c:v>Անվանական</c:v>
                </c:pt>
              </c:strCache>
            </c:strRef>
          </c:tx>
          <c:spPr>
            <a:ln w="28575" cap="rnd">
              <a:solidFill>
                <a:srgbClr val="1F497D"/>
              </a:solidFill>
              <a:round/>
            </a:ln>
            <a:effectLst/>
          </c:spPr>
          <c:marker>
            <c:symbol val="none"/>
          </c:marker>
          <c:cat>
            <c:multiLvlStrRef>
              <c:f>Sheet1!$A$14:$B$97</c:f>
              <c:multiLvlStrCache>
                <c:ptCount val="5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2">
                    <c:v>5</c:v>
                  </c:pt>
                </c:lvl>
                <c:lvl>
                  <c:pt idx="0">
                    <c:v>2022</c:v>
                  </c:pt>
                  <c:pt idx="12">
                    <c:v>2023</c:v>
                  </c:pt>
                  <c:pt idx="24">
                    <c:v>2024</c:v>
                  </c:pt>
                  <c:pt idx="36">
                    <c:v>2025</c:v>
                  </c:pt>
                  <c:pt idx="48">
                    <c:v>2026</c:v>
                  </c:pt>
                </c:lvl>
              </c:multiLvlStrCache>
            </c:multiLvlStrRef>
          </c:cat>
          <c:val>
            <c:numRef>
              <c:f>Sheet1!$D$14:$D$97</c:f>
              <c:numCache>
                <c:formatCode>0</c:formatCode>
                <c:ptCount val="53"/>
                <c:pt idx="0">
                  <c:v>100</c:v>
                </c:pt>
                <c:pt idx="1">
                  <c:v>100.4851598173516</c:v>
                </c:pt>
                <c:pt idx="2">
                  <c:v>107.21556316590564</c:v>
                </c:pt>
                <c:pt idx="3">
                  <c:v>104.94197108066972</c:v>
                </c:pt>
                <c:pt idx="4">
                  <c:v>104.69463470319636</c:v>
                </c:pt>
                <c:pt idx="5">
                  <c:v>109.86491628614917</c:v>
                </c:pt>
                <c:pt idx="6">
                  <c:v>115.1541095890411</c:v>
                </c:pt>
                <c:pt idx="7">
                  <c:v>118.3314307458143</c:v>
                </c:pt>
                <c:pt idx="8">
                  <c:v>118.93550228310502</c:v>
                </c:pt>
                <c:pt idx="9">
                  <c:v>123.01655251141551</c:v>
                </c:pt>
                <c:pt idx="10">
                  <c:v>124.33885083713849</c:v>
                </c:pt>
                <c:pt idx="11">
                  <c:v>125.90372907153726</c:v>
                </c:pt>
                <c:pt idx="12">
                  <c:v>142.00437595129372</c:v>
                </c:pt>
                <c:pt idx="13">
                  <c:v>146.9748858447488</c:v>
                </c:pt>
                <c:pt idx="14">
                  <c:v>151.4459665144596</c:v>
                </c:pt>
                <c:pt idx="15">
                  <c:v>154.02397260273966</c:v>
                </c:pt>
                <c:pt idx="16">
                  <c:v>154.34265601217649</c:v>
                </c:pt>
                <c:pt idx="17">
                  <c:v>158.11929223744286</c:v>
                </c:pt>
                <c:pt idx="18">
                  <c:v>162.2621765601217</c:v>
                </c:pt>
                <c:pt idx="19">
                  <c:v>166.27663622526629</c:v>
                </c:pt>
                <c:pt idx="20">
                  <c:v>168.06031202435304</c:v>
                </c:pt>
                <c:pt idx="21">
                  <c:v>162.03862252663615</c:v>
                </c:pt>
                <c:pt idx="22">
                  <c:v>158.08599695585988</c:v>
                </c:pt>
                <c:pt idx="23">
                  <c:v>156.50684931506839</c:v>
                </c:pt>
                <c:pt idx="24">
                  <c:v>162.40011415525106</c:v>
                </c:pt>
                <c:pt idx="25">
                  <c:v>165.51084474885837</c:v>
                </c:pt>
                <c:pt idx="26">
                  <c:v>167.86529680365288</c:v>
                </c:pt>
                <c:pt idx="27">
                  <c:v>174.21993911719929</c:v>
                </c:pt>
                <c:pt idx="28">
                  <c:v>173.41609589041084</c:v>
                </c:pt>
                <c:pt idx="29">
                  <c:v>171.95585996955847</c:v>
                </c:pt>
                <c:pt idx="30">
                  <c:v>171.11872146118711</c:v>
                </c:pt>
                <c:pt idx="31">
                  <c:v>171.24714611872136</c:v>
                </c:pt>
                <c:pt idx="32">
                  <c:v>172.0414764079147</c:v>
                </c:pt>
                <c:pt idx="33">
                  <c:v>177.35445205479445</c:v>
                </c:pt>
                <c:pt idx="34">
                  <c:v>181.86834094368336</c:v>
                </c:pt>
                <c:pt idx="35">
                  <c:v>182.25837138508368</c:v>
                </c:pt>
                <c:pt idx="36">
                  <c:v>192.12328767123287</c:v>
                </c:pt>
                <c:pt idx="37">
                  <c:v>185.5974124809741</c:v>
                </c:pt>
                <c:pt idx="38">
                  <c:v>181.01693302891931</c:v>
                </c:pt>
                <c:pt idx="39">
                  <c:v>178.42465753424656</c:v>
                </c:pt>
                <c:pt idx="40">
                  <c:v>176.40315829528157</c:v>
                </c:pt>
                <c:pt idx="41">
                  <c:v>175.68017503805174</c:v>
                </c:pt>
                <c:pt idx="42">
                  <c:v>175.66590563165903</c:v>
                </c:pt>
                <c:pt idx="43">
                  <c:v>178.01084474885843</c:v>
                </c:pt>
                <c:pt idx="44">
                  <c:v>180.9122907153729</c:v>
                </c:pt>
                <c:pt idx="45">
                  <c:v>180.12271689497717</c:v>
                </c:pt>
                <c:pt idx="46">
                  <c:v>180.23687214611874</c:v>
                </c:pt>
                <c:pt idx="47">
                  <c:v>179.60901826484019</c:v>
                </c:pt>
                <c:pt idx="48">
                  <c:v>180.92656012176559</c:v>
                </c:pt>
                <c:pt idx="49">
                  <c:v>180.87423896499237</c:v>
                </c:pt>
                <c:pt idx="50">
                  <c:v>185.29299847792998</c:v>
                </c:pt>
                <c:pt idx="51">
                  <c:v>182.63413242009133</c:v>
                </c:pt>
                <c:pt idx="52">
                  <c:v>182.47716894977168</c:v>
                </c:pt>
              </c:numCache>
            </c:numRef>
          </c:val>
          <c:smooth val="0"/>
          <c:extLst>
            <c:ext xmlns:c16="http://schemas.microsoft.com/office/drawing/2014/chart" uri="{C3380CC4-5D6E-409C-BE32-E72D297353CC}">
              <c16:uniqueId val="{00000000-8D52-49B8-9194-86BF8C8F8910}"/>
            </c:ext>
          </c:extLst>
        </c:ser>
        <c:ser>
          <c:idx val="1"/>
          <c:order val="1"/>
          <c:tx>
            <c:strRef>
              <c:f>Sheet1!$C$1</c:f>
              <c:strCache>
                <c:ptCount val="1"/>
                <c:pt idx="0">
                  <c:v>Իրական</c:v>
                </c:pt>
              </c:strCache>
            </c:strRef>
          </c:tx>
          <c:spPr>
            <a:ln w="28575" cap="rnd">
              <a:solidFill>
                <a:srgbClr val="F79646"/>
              </a:solidFill>
              <a:round/>
            </a:ln>
            <a:effectLst/>
          </c:spPr>
          <c:marker>
            <c:symbol val="none"/>
          </c:marker>
          <c:cat>
            <c:multiLvlStrRef>
              <c:f>Sheet1!$A$14:$B$97</c:f>
              <c:multiLvlStrCache>
                <c:ptCount val="53"/>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2">
                    <c:v>5</c:v>
                  </c:pt>
                </c:lvl>
                <c:lvl>
                  <c:pt idx="0">
                    <c:v>2022</c:v>
                  </c:pt>
                  <c:pt idx="12">
                    <c:v>2023</c:v>
                  </c:pt>
                  <c:pt idx="24">
                    <c:v>2024</c:v>
                  </c:pt>
                  <c:pt idx="36">
                    <c:v>2025</c:v>
                  </c:pt>
                  <c:pt idx="48">
                    <c:v>2026</c:v>
                  </c:pt>
                </c:lvl>
              </c:multiLvlStrCache>
            </c:multiLvlStrRef>
          </c:cat>
          <c:val>
            <c:numRef>
              <c:f>Sheet1!$C$14:$C$97</c:f>
              <c:numCache>
                <c:formatCode>0</c:formatCode>
                <c:ptCount val="53"/>
                <c:pt idx="0">
                  <c:v>100</c:v>
                </c:pt>
                <c:pt idx="1">
                  <c:v>99.450549450549431</c:v>
                </c:pt>
                <c:pt idx="2">
                  <c:v>104.44236614449379</c:v>
                </c:pt>
                <c:pt idx="3">
                  <c:v>103.12719195697917</c:v>
                </c:pt>
                <c:pt idx="4">
                  <c:v>102.27379003974747</c:v>
                </c:pt>
                <c:pt idx="5">
                  <c:v>106.44143090951599</c:v>
                </c:pt>
                <c:pt idx="6">
                  <c:v>109.58031330371755</c:v>
                </c:pt>
                <c:pt idx="7">
                  <c:v>112.43862520458264</c:v>
                </c:pt>
                <c:pt idx="8">
                  <c:v>112.90624269347671</c:v>
                </c:pt>
                <c:pt idx="9">
                  <c:v>116.19710077156881</c:v>
                </c:pt>
                <c:pt idx="10">
                  <c:v>118.34814122048159</c:v>
                </c:pt>
                <c:pt idx="11">
                  <c:v>120.76806172550849</c:v>
                </c:pt>
                <c:pt idx="12">
                  <c:v>135.54477437456154</c:v>
                </c:pt>
                <c:pt idx="13">
                  <c:v>139.53705868599479</c:v>
                </c:pt>
                <c:pt idx="14">
                  <c:v>142.65840542436283</c:v>
                </c:pt>
                <c:pt idx="15">
                  <c:v>143.73977086743039</c:v>
                </c:pt>
                <c:pt idx="16">
                  <c:v>141.06850596212294</c:v>
                </c:pt>
                <c:pt idx="17">
                  <c:v>141.68809913490759</c:v>
                </c:pt>
                <c:pt idx="18">
                  <c:v>142.94482113631045</c:v>
                </c:pt>
                <c:pt idx="19">
                  <c:v>145.65115735328496</c:v>
                </c:pt>
                <c:pt idx="20">
                  <c:v>147.54500818330598</c:v>
                </c:pt>
                <c:pt idx="21">
                  <c:v>141.82253916296463</c:v>
                </c:pt>
                <c:pt idx="22">
                  <c:v>138.46738368014957</c:v>
                </c:pt>
                <c:pt idx="23">
                  <c:v>137.60229132569552</c:v>
                </c:pt>
                <c:pt idx="24">
                  <c:v>146.42857142857136</c:v>
                </c:pt>
                <c:pt idx="25">
                  <c:v>146.92541501052133</c:v>
                </c:pt>
                <c:pt idx="26">
                  <c:v>148.94786064998826</c:v>
                </c:pt>
                <c:pt idx="27">
                  <c:v>154.00397474865557</c:v>
                </c:pt>
                <c:pt idx="28">
                  <c:v>151.18657937806867</c:v>
                </c:pt>
                <c:pt idx="29">
                  <c:v>147.72620996025245</c:v>
                </c:pt>
                <c:pt idx="30">
                  <c:v>145.31797989244794</c:v>
                </c:pt>
                <c:pt idx="31">
                  <c:v>145.02571896188914</c:v>
                </c:pt>
                <c:pt idx="32">
                  <c:v>145.41734860883793</c:v>
                </c:pt>
                <c:pt idx="33">
                  <c:v>149.24012158054705</c:v>
                </c:pt>
                <c:pt idx="34">
                  <c:v>154.23193827449143</c:v>
                </c:pt>
                <c:pt idx="35">
                  <c:v>155.07949497311196</c:v>
                </c:pt>
                <c:pt idx="36">
                  <c:v>166.2263268646247</c:v>
                </c:pt>
                <c:pt idx="37">
                  <c:v>159.66214636427398</c:v>
                </c:pt>
                <c:pt idx="38">
                  <c:v>156.19008650923541</c:v>
                </c:pt>
                <c:pt idx="39">
                  <c:v>153.44867898059385</c:v>
                </c:pt>
                <c:pt idx="40">
                  <c:v>151.56651858779517</c:v>
                </c:pt>
                <c:pt idx="41">
                  <c:v>148.4334814122048</c:v>
                </c:pt>
                <c:pt idx="42">
                  <c:v>146.31751227495906</c:v>
                </c:pt>
                <c:pt idx="43">
                  <c:v>148.48024316109419</c:v>
                </c:pt>
                <c:pt idx="44">
                  <c:v>150.73649754500812</c:v>
                </c:pt>
                <c:pt idx="45">
                  <c:v>149.42132335749349</c:v>
                </c:pt>
                <c:pt idx="46">
                  <c:v>150.12274959083462</c:v>
                </c:pt>
                <c:pt idx="47">
                  <c:v>150.87093757306516</c:v>
                </c:pt>
                <c:pt idx="48">
                  <c:v>156.84475099368706</c:v>
                </c:pt>
                <c:pt idx="49">
                  <c:v>156.13163432312359</c:v>
                </c:pt>
                <c:pt idx="50">
                  <c:v>160.48047696983858</c:v>
                </c:pt>
                <c:pt idx="51">
                  <c:v>158.91980360065455</c:v>
                </c:pt>
                <c:pt idx="52">
                  <c:v>157.30652326396998</c:v>
                </c:pt>
              </c:numCache>
            </c:numRef>
          </c:val>
          <c:smooth val="0"/>
          <c:extLst>
            <c:ext xmlns:c16="http://schemas.microsoft.com/office/drawing/2014/chart" uri="{C3380CC4-5D6E-409C-BE32-E72D297353CC}">
              <c16:uniqueId val="{00000001-8D52-49B8-9194-86BF8C8F8910}"/>
            </c:ext>
          </c:extLst>
        </c:ser>
        <c:dLbls>
          <c:showLegendKey val="0"/>
          <c:showVal val="0"/>
          <c:showCatName val="0"/>
          <c:showSerName val="0"/>
          <c:showPercent val="0"/>
          <c:showBubbleSize val="0"/>
        </c:dLbls>
        <c:smooth val="0"/>
        <c:axId val="175953408"/>
        <c:axId val="175954944"/>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0"/>
        <c:tickLblSkip val="1"/>
        <c:noMultiLvlLbl val="0"/>
      </c:catAx>
      <c:valAx>
        <c:axId val="175954944"/>
        <c:scaling>
          <c:orientation val="minMax"/>
          <c:min val="90"/>
        </c:scaling>
        <c:delete val="0"/>
        <c:axPos val="r"/>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max"/>
        <c:crossBetween val="between"/>
        <c:majorUnit val="20"/>
        <c:minorUnit val="10"/>
      </c:valAx>
      <c:spPr>
        <a:noFill/>
        <a:ln>
          <a:noFill/>
        </a:ln>
        <a:effectLst/>
      </c:spPr>
    </c:plotArea>
    <c:legend>
      <c:legendPos val="b"/>
      <c:layout>
        <c:manualLayout>
          <c:xMode val="edge"/>
          <c:yMode val="edge"/>
          <c:x val="0.15800041360960809"/>
          <c:y val="0.90165374688692512"/>
          <c:w val="0.68386371208242935"/>
          <c:h val="9.834861551396983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sz="1000" b="0" baseline="0">
                <a:solidFill>
                  <a:schemeClr val="tx1">
                    <a:lumMod val="65000"/>
                    <a:lumOff val="35000"/>
                  </a:schemeClr>
                </a:solidFill>
              </a:defRPr>
            </a:pPr>
            <a:r>
              <a:rPr lang="en-US" sz="1000" b="0" baseline="0">
                <a:solidFill>
                  <a:schemeClr val="tx1">
                    <a:lumMod val="65000"/>
                    <a:lumOff val="35000"/>
                  </a:schemeClr>
                </a:solidFill>
              </a:rPr>
              <a:t>Վարկերի</a:t>
            </a:r>
            <a:r>
              <a:rPr lang="hy-AM" sz="1000" b="0" baseline="0">
                <a:solidFill>
                  <a:schemeClr val="tx1">
                    <a:lumMod val="65000"/>
                    <a:lumOff val="35000"/>
                  </a:schemeClr>
                </a:solidFill>
              </a:rPr>
              <a:t> </a:t>
            </a:r>
            <a:r>
              <a:rPr lang="en-US" sz="1000" b="0" baseline="0">
                <a:solidFill>
                  <a:schemeClr val="tx1">
                    <a:lumMod val="65000"/>
                    <a:lumOff val="35000"/>
                  </a:schemeClr>
                </a:solidFill>
              </a:rPr>
              <a:t>ծավալների աճ</a:t>
            </a:r>
            <a:r>
              <a:rPr lang="hy-AM" sz="1000" b="0" baseline="0">
                <a:solidFill>
                  <a:schemeClr val="tx1">
                    <a:lumMod val="65000"/>
                    <a:lumOff val="35000"/>
                  </a:schemeClr>
                </a:solidFill>
              </a:rPr>
              <a:t> </a:t>
            </a:r>
            <a:r>
              <a:rPr lang="ru-RU" sz="1000" b="0" baseline="0">
                <a:solidFill>
                  <a:schemeClr val="tx1">
                    <a:lumMod val="65000"/>
                    <a:lumOff val="35000"/>
                  </a:schemeClr>
                </a:solidFill>
              </a:rPr>
              <a:t>(</a:t>
            </a:r>
            <a:r>
              <a:rPr lang="hy-AM" sz="1000" b="0" baseline="0">
                <a:solidFill>
                  <a:schemeClr val="tx1">
                    <a:lumMod val="65000"/>
                    <a:lumOff val="35000"/>
                  </a:schemeClr>
                </a:solidFill>
              </a:rPr>
              <a:t>ռեզիդենտների</a:t>
            </a:r>
            <a:r>
              <a:rPr lang="ru-RU" sz="1000" b="0" baseline="0">
                <a:solidFill>
                  <a:schemeClr val="tx1">
                    <a:lumMod val="65000"/>
                    <a:lumOff val="35000"/>
                  </a:schemeClr>
                </a:solidFill>
              </a:rPr>
              <a:t>)</a:t>
            </a:r>
            <a:r>
              <a:rPr lang="en-US" sz="1000" b="0" baseline="0">
                <a:solidFill>
                  <a:schemeClr val="tx1">
                    <a:lumMod val="65000"/>
                    <a:lumOff val="35000"/>
                  </a:schemeClr>
                </a:solidFill>
              </a:rPr>
              <a:t>, 202</a:t>
            </a:r>
            <a:r>
              <a:rPr lang="hy-AM" sz="1000" b="0" baseline="0">
                <a:solidFill>
                  <a:schemeClr val="tx1">
                    <a:lumMod val="65000"/>
                    <a:lumOff val="35000"/>
                  </a:schemeClr>
                </a:solidFill>
              </a:rPr>
              <a:t>5-</a:t>
            </a:r>
            <a:r>
              <a:rPr lang="en-US" sz="1000" b="0" baseline="0">
                <a:solidFill>
                  <a:schemeClr val="tx1">
                    <a:lumMod val="65000"/>
                    <a:lumOff val="35000"/>
                  </a:schemeClr>
                </a:solidFill>
              </a:rPr>
              <a:t>20</a:t>
            </a:r>
            <a:r>
              <a:rPr lang="hy-AM" sz="1000" b="0" baseline="0">
                <a:solidFill>
                  <a:schemeClr val="tx1">
                    <a:lumMod val="65000"/>
                    <a:lumOff val="35000"/>
                  </a:schemeClr>
                </a:solidFill>
              </a:rPr>
              <a:t>26</a:t>
            </a:r>
            <a:r>
              <a:rPr lang="en-US" sz="1000" b="0" baseline="0">
                <a:solidFill>
                  <a:schemeClr val="tx1">
                    <a:lumMod val="65000"/>
                    <a:lumOff val="35000"/>
                  </a:schemeClr>
                </a:solidFill>
              </a:rPr>
              <a:t>թ</a:t>
            </a:r>
            <a:r>
              <a:rPr lang="hy-AM" sz="1000" b="0" baseline="0">
                <a:solidFill>
                  <a:schemeClr val="tx1">
                    <a:lumMod val="65000"/>
                    <a:lumOff val="35000"/>
                  </a:schemeClr>
                </a:solidFill>
              </a:rPr>
              <a:t>թ․</a:t>
            </a:r>
            <a:endParaRPr lang="en-US" sz="1000" b="0" baseline="0">
              <a:solidFill>
                <a:schemeClr val="tx1">
                  <a:lumMod val="65000"/>
                  <a:lumOff val="35000"/>
                </a:schemeClr>
              </a:solidFill>
            </a:endParaRPr>
          </a:p>
        </c:rich>
      </c:tx>
      <c:layout>
        <c:manualLayout>
          <c:xMode val="edge"/>
          <c:yMode val="edge"/>
          <c:x val="0.11566594954038725"/>
          <c:y val="1.1265004270175405E-2"/>
        </c:manualLayout>
      </c:layout>
      <c:overlay val="0"/>
    </c:title>
    <c:autoTitleDeleted val="0"/>
    <c:plotArea>
      <c:layout>
        <c:manualLayout>
          <c:layoutTarget val="inner"/>
          <c:xMode val="edge"/>
          <c:yMode val="edge"/>
          <c:x val="8.5340863004369355E-2"/>
          <c:y val="0.20323084614423198"/>
          <c:w val="0.90073842810465021"/>
          <c:h val="0.50257543194466603"/>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E692-4D3A-B482-8A4EF0080A42}"/>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E692-4D3A-B482-8A4EF0080A42}"/>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E692-4D3A-B482-8A4EF0080A42}"/>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E692-4D3A-B482-8A4EF0080A42}"/>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E692-4D3A-B482-8A4EF0080A42}"/>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Ref>
          </c:val>
          <c:smooth val="0"/>
          <c:extLst>
            <c:ext xmlns:c16="http://schemas.microsoft.com/office/drawing/2014/chart" uri="{C3380CC4-5D6E-409C-BE32-E72D297353CC}">
              <c16:uniqueId val="{00000005-E692-4D3A-B482-8A4EF0080A42}"/>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dLbls>
            <c:dLbl>
              <c:idx val="8"/>
              <c:layout>
                <c:manualLayout>
                  <c:x val="-3.4985422740524783E-2"/>
                  <c:y val="-4.85115766262403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692-4D3A-B482-8A4EF0080A42}"/>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7-E692-4D3A-B482-8A4EF0080A42}"/>
            </c:ext>
          </c:extLst>
        </c:ser>
        <c:ser>
          <c:idx val="7"/>
          <c:order val="7"/>
          <c:tx>
            <c:strRef>
              <c:f>Sheet1!$I$1</c:f>
              <c:strCache>
                <c:ptCount val="1"/>
                <c:pt idx="0">
                  <c:v>2024</c:v>
                </c:pt>
              </c:strCache>
            </c:strRef>
          </c:tx>
          <c:spPr>
            <a:ln>
              <a:solidFill>
                <a:srgbClr val="F79646">
                  <a:lumMod val="40000"/>
                  <a:lumOff val="60000"/>
                </a:srgbClr>
              </a:solidFill>
            </a:ln>
          </c:spPr>
          <c:marker>
            <c:symbol val="circle"/>
            <c:size val="5"/>
            <c:spPr>
              <a:solidFill>
                <a:srgbClr val="F79646">
                  <a:lumMod val="40000"/>
                  <a:lumOff val="60000"/>
                </a:srgbClr>
              </a:solidFill>
              <a:ln>
                <a:solidFill>
                  <a:srgbClr val="F79646">
                    <a:lumMod val="40000"/>
                    <a:lumOff val="6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Ref>
          </c:val>
          <c:smooth val="0"/>
          <c:extLst>
            <c:ext xmlns:c16="http://schemas.microsoft.com/office/drawing/2014/chart" uri="{C3380CC4-5D6E-409C-BE32-E72D297353CC}">
              <c16:uniqueId val="{00000008-E692-4D3A-B482-8A4EF0080A42}"/>
            </c:ext>
          </c:extLst>
        </c:ser>
        <c:ser>
          <c:idx val="8"/>
          <c:order val="8"/>
          <c:tx>
            <c:strRef>
              <c:f>Sheet1!$J$1</c:f>
              <c:strCache>
                <c:ptCount val="1"/>
                <c:pt idx="0">
                  <c:v>2025</c:v>
                </c:pt>
              </c:strCache>
            </c:strRef>
          </c:tx>
          <c:spPr>
            <a:ln>
              <a:solidFill>
                <a:srgbClr val="4F81BD">
                  <a:lumMod val="75000"/>
                </a:srgbClr>
              </a:solidFill>
            </a:ln>
          </c:spPr>
          <c:marker>
            <c:symbol val="circle"/>
            <c:size val="5"/>
            <c:spPr>
              <a:solidFill>
                <a:srgbClr val="4F81BD">
                  <a:lumMod val="75000"/>
                </a:srgbClr>
              </a:solidFill>
              <a:ln>
                <a:solidFill>
                  <a:srgbClr val="4F81B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Sheet1!$J$2:$J$13</c:f>
              <c:numCache>
                <c:formatCode>0.0</c:formatCode>
                <c:ptCount val="12"/>
                <c:pt idx="0">
                  <c:v>28.20890546842702</c:v>
                </c:pt>
                <c:pt idx="1">
                  <c:v>27.644233245191828</c:v>
                </c:pt>
                <c:pt idx="2">
                  <c:v>29.438799002649176</c:v>
                </c:pt>
                <c:pt idx="3">
                  <c:v>30.416183738924644</c:v>
                </c:pt>
                <c:pt idx="4">
                  <c:v>29.126340506937339</c:v>
                </c:pt>
                <c:pt idx="5">
                  <c:v>29.933231496555607</c:v>
                </c:pt>
                <c:pt idx="6">
                  <c:v>29.267220554117642</c:v>
                </c:pt>
                <c:pt idx="7">
                  <c:v>27.917681096022221</c:v>
                </c:pt>
                <c:pt idx="8">
                  <c:v>27.160267342982223</c:v>
                </c:pt>
                <c:pt idx="9">
                  <c:v>27.018060180215556</c:v>
                </c:pt>
                <c:pt idx="10">
                  <c:v>24.357092635331526</c:v>
                </c:pt>
                <c:pt idx="11">
                  <c:v>22.240569979664656</c:v>
                </c:pt>
              </c:numCache>
            </c:numRef>
          </c:val>
          <c:smooth val="0"/>
          <c:extLst>
            <c:ext xmlns:c16="http://schemas.microsoft.com/office/drawing/2014/chart" uri="{C3380CC4-5D6E-409C-BE32-E72D297353CC}">
              <c16:uniqueId val="{00000009-E692-4D3A-B482-8A4EF0080A42}"/>
            </c:ext>
          </c:extLst>
        </c:ser>
        <c:ser>
          <c:idx val="9"/>
          <c:order val="9"/>
          <c:tx>
            <c:strRef>
              <c:f>Sheet1!$K$1</c:f>
              <c:strCache>
                <c:ptCount val="1"/>
                <c:pt idx="0">
                  <c:v>2026</c:v>
                </c:pt>
              </c:strCache>
            </c:strRef>
          </c:tx>
          <c:spPr>
            <a:ln>
              <a:solidFill>
                <a:srgbClr val="F79646">
                  <a:lumMod val="40000"/>
                  <a:lumOff val="60000"/>
                </a:srgbClr>
              </a:solidFill>
            </a:ln>
          </c:spPr>
          <c:marker>
            <c:symbol val="circle"/>
            <c:size val="5"/>
            <c:spPr>
              <a:solidFill>
                <a:srgbClr val="F79646">
                  <a:lumMod val="40000"/>
                  <a:lumOff val="60000"/>
                </a:srgbClr>
              </a:solidFill>
              <a:ln>
                <a:solidFill>
                  <a:srgbClr val="F79646">
                    <a:lumMod val="40000"/>
                    <a:lumOff val="6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Sheet1!$K$2:$K$13</c:f>
              <c:numCache>
                <c:formatCode>0.0</c:formatCode>
                <c:ptCount val="12"/>
                <c:pt idx="0">
                  <c:v>21.496108528620098</c:v>
                </c:pt>
                <c:pt idx="1">
                  <c:v>21.737344726122259</c:v>
                </c:pt>
                <c:pt idx="2">
                  <c:v>21.187681014223728</c:v>
                </c:pt>
                <c:pt idx="3">
                  <c:v>20.794879412137306</c:v>
                </c:pt>
                <c:pt idx="4">
                  <c:v>23.253211238728895</c:v>
                </c:pt>
                <c:pt idx="5">
                  <c:v>22.581681209676475</c:v>
                </c:pt>
              </c:numCache>
            </c:numRef>
          </c:val>
          <c:smooth val="0"/>
          <c:extLst>
            <c:ext xmlns:c16="http://schemas.microsoft.com/office/drawing/2014/chart" uri="{C3380CC4-5D6E-409C-BE32-E72D297353CC}">
              <c16:uniqueId val="{0000000A-E692-4D3A-B482-8A4EF0080A42}"/>
            </c:ext>
          </c:extLst>
        </c:ser>
        <c:dLbls>
          <c:showLegendKey val="0"/>
          <c:showVal val="0"/>
          <c:showCatName val="0"/>
          <c:showSerName val="0"/>
          <c:showPercent val="0"/>
          <c:showBubbleSize val="0"/>
        </c:dLbls>
        <c:marker val="1"/>
        <c:smooth val="0"/>
        <c:axId val="341285120"/>
        <c:axId val="341303296"/>
      </c:lineChart>
      <c:catAx>
        <c:axId val="341285120"/>
        <c:scaling>
          <c:orientation val="minMax"/>
        </c:scaling>
        <c:delete val="0"/>
        <c:axPos val="b"/>
        <c:numFmt formatCode="General" sourceLinked="1"/>
        <c:majorTickMark val="none"/>
        <c:minorTickMark val="none"/>
        <c:tickLblPos val="low"/>
        <c:spPr>
          <a:ln>
            <a:noFill/>
          </a:ln>
        </c:spPr>
        <c:txPr>
          <a:bodyPr/>
          <a:lstStyle/>
          <a:p>
            <a:pPr>
              <a:defRPr baseline="0">
                <a:solidFill>
                  <a:schemeClr val="tx1">
                    <a:lumMod val="65000"/>
                    <a:lumOff val="35000"/>
                  </a:schemeClr>
                </a:solidFill>
              </a:defRPr>
            </a:pPr>
            <a:endParaRPr lang="en-US"/>
          </a:p>
        </c:txPr>
        <c:crossAx val="341303296"/>
        <c:crosses val="autoZero"/>
        <c:auto val="1"/>
        <c:lblAlgn val="ctr"/>
        <c:lblOffset val="100"/>
        <c:noMultiLvlLbl val="0"/>
      </c:catAx>
      <c:valAx>
        <c:axId val="341303296"/>
        <c:scaling>
          <c:orientation val="minMax"/>
          <c:min val="10"/>
        </c:scaling>
        <c:delete val="0"/>
        <c:axPos val="l"/>
        <c:majorGridlines>
          <c:spPr>
            <a:ln>
              <a:solidFill>
                <a:sysClr val="window" lastClr="FFFFFF">
                  <a:lumMod val="85000"/>
                </a:sysClr>
              </a:solidFill>
            </a:ln>
          </c:spPr>
        </c:majorGridlines>
        <c:numFmt formatCode="0" sourceLinked="0"/>
        <c:majorTickMark val="none"/>
        <c:minorTickMark val="none"/>
        <c:tickLblPos val="nextTo"/>
        <c:spPr>
          <a:ln>
            <a:noFill/>
          </a:ln>
        </c:spPr>
        <c:txPr>
          <a:bodyPr/>
          <a:lstStyle/>
          <a:p>
            <a:pPr>
              <a:defRPr baseline="0">
                <a:solidFill>
                  <a:schemeClr val="tx1">
                    <a:lumMod val="65000"/>
                    <a:lumOff val="35000"/>
                  </a:schemeClr>
                </a:solidFill>
              </a:defRPr>
            </a:pPr>
            <a:endParaRPr lang="en-US"/>
          </a:p>
        </c:txPr>
        <c:crossAx val="341285120"/>
        <c:crosses val="autoZero"/>
        <c:crossBetween val="between"/>
      </c:valAx>
      <c:spPr>
        <a:ln>
          <a:noFill/>
        </a:ln>
      </c:spPr>
    </c:plotArea>
    <c:legend>
      <c:legendPos val="r"/>
      <c:layout>
        <c:manualLayout>
          <c:xMode val="edge"/>
          <c:yMode val="edge"/>
          <c:x val="1.6617835561252514E-2"/>
          <c:y val="0.8192722870308673"/>
          <c:w val="0.21170809943865276"/>
          <c:h val="0.18072771296913273"/>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Դրամավարկային քաղաքականության տոկոսադրույքները</a:t>
            </a:r>
            <a:r>
              <a:rPr lang="en-US" sz="1000"/>
              <a:t>, % </a:t>
            </a:r>
          </a:p>
        </c:rich>
      </c:tx>
      <c:layout>
        <c:manualLayout>
          <c:xMode val="edge"/>
          <c:yMode val="edge"/>
          <c:x val="0.15867606737171955"/>
          <c:y val="6.9374588088383226E-6"/>
        </c:manualLayout>
      </c:layout>
      <c:overlay val="0"/>
      <c:spPr>
        <a:noFill/>
        <a:ln w="25400">
          <a:noFill/>
        </a:ln>
      </c:spPr>
    </c:title>
    <c:autoTitleDeleted val="0"/>
    <c:plotArea>
      <c:layout>
        <c:manualLayout>
          <c:layoutTarget val="inner"/>
          <c:xMode val="edge"/>
          <c:yMode val="edge"/>
          <c:x val="9.6437897522516872E-2"/>
          <c:y val="0.18716063288539592"/>
          <c:w val="0.86044163321087097"/>
          <c:h val="0.52389368914258139"/>
        </c:manualLayout>
      </c:layout>
      <c:lineChart>
        <c:grouping val="standard"/>
        <c:varyColors val="0"/>
        <c:ser>
          <c:idx val="0"/>
          <c:order val="0"/>
          <c:tx>
            <c:strRef>
              <c:f>Sheet1!$D$1</c:f>
              <c:strCache>
                <c:ptCount val="1"/>
                <c:pt idx="0">
                  <c:v>ԵԳ</c:v>
                </c:pt>
              </c:strCache>
            </c:strRef>
          </c:tx>
          <c:spPr>
            <a:ln w="22225" cap="rnd">
              <a:solidFill>
                <a:srgbClr val="4F81BD"/>
              </a:solidFill>
              <a:round/>
            </a:ln>
            <a:effectLst/>
          </c:spPr>
          <c:marker>
            <c:symbol val="none"/>
          </c:marker>
          <c:cat>
            <c:multiLvlStrRef>
              <c:f>Sheet1!$A$14:$B$103</c:f>
              <c:multiLvlStrCache>
                <c:ptCount val="6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lvl>
                <c:lvl>
                  <c:pt idx="0">
                    <c:v>2021</c:v>
                  </c:pt>
                  <c:pt idx="12">
                    <c:v>2022</c:v>
                  </c:pt>
                  <c:pt idx="24">
                    <c:v>2023</c:v>
                  </c:pt>
                  <c:pt idx="36">
                    <c:v>2024</c:v>
                  </c:pt>
                  <c:pt idx="48">
                    <c:v>2025</c:v>
                  </c:pt>
                  <c:pt idx="60">
                    <c:v>2026</c:v>
                  </c:pt>
                </c:lvl>
              </c:multiLvlStrCache>
            </c:multiLvlStrRef>
          </c:cat>
          <c:val>
            <c:numRef>
              <c:f>Sheet1!$D$2:$D$103</c:f>
              <c:numCache>
                <c:formatCode>General</c:formatCode>
                <c:ptCount val="66"/>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0.5</c:v>
                </c:pt>
                <c:pt idx="19">
                  <c:v>0.5</c:v>
                </c:pt>
                <c:pt idx="20" formatCode="0.0">
                  <c:v>1.3</c:v>
                </c:pt>
                <c:pt idx="21" formatCode="0.0">
                  <c:v>1.3</c:v>
                </c:pt>
                <c:pt idx="22">
                  <c:v>2</c:v>
                </c:pt>
                <c:pt idx="23">
                  <c:v>2.5</c:v>
                </c:pt>
                <c:pt idx="24" formatCode="0.00">
                  <c:v>2.5</c:v>
                </c:pt>
                <c:pt idx="25" formatCode="0.00">
                  <c:v>3</c:v>
                </c:pt>
                <c:pt idx="26" formatCode="0.00">
                  <c:v>3.5</c:v>
                </c:pt>
                <c:pt idx="27" formatCode="0.00">
                  <c:v>3.75</c:v>
                </c:pt>
                <c:pt idx="28" formatCode="0.00">
                  <c:v>3.75</c:v>
                </c:pt>
                <c:pt idx="29" formatCode="0.00">
                  <c:v>4</c:v>
                </c:pt>
                <c:pt idx="30">
                  <c:v>4.25</c:v>
                </c:pt>
                <c:pt idx="31">
                  <c:v>4.25</c:v>
                </c:pt>
                <c:pt idx="32">
                  <c:v>4.5</c:v>
                </c:pt>
                <c:pt idx="33" formatCode="0.0">
                  <c:v>4.5</c:v>
                </c:pt>
                <c:pt idx="34" formatCode="0.0">
                  <c:v>4.5</c:v>
                </c:pt>
                <c:pt idx="35" formatCode="0.0">
                  <c:v>4.5</c:v>
                </c:pt>
                <c:pt idx="36" formatCode="0.00">
                  <c:v>4.5</c:v>
                </c:pt>
                <c:pt idx="37" formatCode="0.00">
                  <c:v>4.5</c:v>
                </c:pt>
                <c:pt idx="38" formatCode="0.00">
                  <c:v>4.5</c:v>
                </c:pt>
                <c:pt idx="39" formatCode="0.00">
                  <c:v>4.5</c:v>
                </c:pt>
                <c:pt idx="40" formatCode="0.00">
                  <c:v>4.5</c:v>
                </c:pt>
                <c:pt idx="41" formatCode="0.00">
                  <c:v>4.25</c:v>
                </c:pt>
                <c:pt idx="42" formatCode="0.00">
                  <c:v>4.25</c:v>
                </c:pt>
                <c:pt idx="43" formatCode="0.00">
                  <c:v>4.25</c:v>
                </c:pt>
                <c:pt idx="44" formatCode="0.00">
                  <c:v>3.65</c:v>
                </c:pt>
                <c:pt idx="45" formatCode="0.00">
                  <c:v>3.4</c:v>
                </c:pt>
                <c:pt idx="46" formatCode="0.00">
                  <c:v>3.4</c:v>
                </c:pt>
                <c:pt idx="47" formatCode="0.00">
                  <c:v>3.15</c:v>
                </c:pt>
                <c:pt idx="48" formatCode="0.00">
                  <c:v>3.15</c:v>
                </c:pt>
                <c:pt idx="49">
                  <c:v>2.9</c:v>
                </c:pt>
                <c:pt idx="50">
                  <c:v>2.65</c:v>
                </c:pt>
                <c:pt idx="51">
                  <c:v>2.65</c:v>
                </c:pt>
                <c:pt idx="52">
                  <c:v>2.4</c:v>
                </c:pt>
                <c:pt idx="53">
                  <c:v>2.15</c:v>
                </c:pt>
                <c:pt idx="54">
                  <c:v>2.15</c:v>
                </c:pt>
                <c:pt idx="55">
                  <c:v>2.15</c:v>
                </c:pt>
                <c:pt idx="56">
                  <c:v>2.15</c:v>
                </c:pt>
                <c:pt idx="57">
                  <c:v>2.15</c:v>
                </c:pt>
                <c:pt idx="58">
                  <c:v>2.15</c:v>
                </c:pt>
                <c:pt idx="59">
                  <c:v>2.15</c:v>
                </c:pt>
                <c:pt idx="60">
                  <c:v>2.15</c:v>
                </c:pt>
                <c:pt idx="61">
                  <c:v>2.15</c:v>
                </c:pt>
                <c:pt idx="62">
                  <c:v>2.15</c:v>
                </c:pt>
                <c:pt idx="63">
                  <c:v>2.15</c:v>
                </c:pt>
                <c:pt idx="64">
                  <c:v>2.15</c:v>
                </c:pt>
                <c:pt idx="65">
                  <c:v>2.4</c:v>
                </c:pt>
              </c:numCache>
            </c:numRef>
          </c:val>
          <c:smooth val="0"/>
          <c:extLst>
            <c:ext xmlns:c16="http://schemas.microsoft.com/office/drawing/2014/chart" uri="{C3380CC4-5D6E-409C-BE32-E72D297353CC}">
              <c16:uniqueId val="{00000000-C49A-4736-8E72-F0DF687DD0DF}"/>
            </c:ext>
          </c:extLst>
        </c:ser>
        <c:ser>
          <c:idx val="1"/>
          <c:order val="1"/>
          <c:tx>
            <c:strRef>
              <c:f>Sheet1!$E$1</c:f>
              <c:strCache>
                <c:ptCount val="1"/>
                <c:pt idx="0">
                  <c:v>Չինաստան</c:v>
                </c:pt>
              </c:strCache>
            </c:strRef>
          </c:tx>
          <c:spPr>
            <a:ln w="22225" cap="rnd">
              <a:solidFill>
                <a:sysClr val="window" lastClr="FFFFFF">
                  <a:lumMod val="65000"/>
                </a:sysClr>
              </a:solidFill>
              <a:round/>
            </a:ln>
            <a:effectLst/>
          </c:spPr>
          <c:marker>
            <c:symbol val="none"/>
          </c:marker>
          <c:cat>
            <c:multiLvlStrRef>
              <c:f>Sheet1!$A$14:$B$103</c:f>
              <c:multiLvlStrCache>
                <c:ptCount val="6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lvl>
                <c:lvl>
                  <c:pt idx="0">
                    <c:v>2021</c:v>
                  </c:pt>
                  <c:pt idx="12">
                    <c:v>2022</c:v>
                  </c:pt>
                  <c:pt idx="24">
                    <c:v>2023</c:v>
                  </c:pt>
                  <c:pt idx="36">
                    <c:v>2024</c:v>
                  </c:pt>
                  <c:pt idx="48">
                    <c:v>2025</c:v>
                  </c:pt>
                  <c:pt idx="60">
                    <c:v>2026</c:v>
                  </c:pt>
                </c:lvl>
              </c:multiLvlStrCache>
            </c:multiLvlStrRef>
          </c:cat>
          <c:val>
            <c:numRef>
              <c:f>Sheet1!$E$2:$E$103</c:f>
              <c:numCache>
                <c:formatCode>General</c:formatCode>
                <c:ptCount val="66"/>
                <c:pt idx="0">
                  <c:v>3.85</c:v>
                </c:pt>
                <c:pt idx="1">
                  <c:v>3.85</c:v>
                </c:pt>
                <c:pt idx="2">
                  <c:v>3.85</c:v>
                </c:pt>
                <c:pt idx="3">
                  <c:v>3.85</c:v>
                </c:pt>
                <c:pt idx="4">
                  <c:v>3.85</c:v>
                </c:pt>
                <c:pt idx="5">
                  <c:v>3.85</c:v>
                </c:pt>
                <c:pt idx="6">
                  <c:v>3.85</c:v>
                </c:pt>
                <c:pt idx="7">
                  <c:v>3.85</c:v>
                </c:pt>
                <c:pt idx="8">
                  <c:v>3.85</c:v>
                </c:pt>
                <c:pt idx="9">
                  <c:v>3.85</c:v>
                </c:pt>
                <c:pt idx="10">
                  <c:v>3.85</c:v>
                </c:pt>
                <c:pt idx="11">
                  <c:v>3.8</c:v>
                </c:pt>
                <c:pt idx="12">
                  <c:v>3.8</c:v>
                </c:pt>
                <c:pt idx="13">
                  <c:v>3.7</c:v>
                </c:pt>
                <c:pt idx="14">
                  <c:v>3.7</c:v>
                </c:pt>
                <c:pt idx="15">
                  <c:v>3.7</c:v>
                </c:pt>
                <c:pt idx="16">
                  <c:v>3.7</c:v>
                </c:pt>
                <c:pt idx="17">
                  <c:v>3.7</c:v>
                </c:pt>
                <c:pt idx="18">
                  <c:v>3.7</c:v>
                </c:pt>
                <c:pt idx="19">
                  <c:v>3.7</c:v>
                </c:pt>
                <c:pt idx="20" formatCode="0.00">
                  <c:v>3.65</c:v>
                </c:pt>
                <c:pt idx="21" formatCode="0.00">
                  <c:v>3.65</c:v>
                </c:pt>
                <c:pt idx="22" formatCode="0.00">
                  <c:v>3.65</c:v>
                </c:pt>
                <c:pt idx="23" formatCode="0.00">
                  <c:v>3.65</c:v>
                </c:pt>
                <c:pt idx="24" formatCode="0.00">
                  <c:v>3.65</c:v>
                </c:pt>
                <c:pt idx="25" formatCode="0.00">
                  <c:v>3.65</c:v>
                </c:pt>
                <c:pt idx="26" formatCode="0.00">
                  <c:v>3.65</c:v>
                </c:pt>
                <c:pt idx="27" formatCode="0.00">
                  <c:v>3.65</c:v>
                </c:pt>
                <c:pt idx="28" formatCode="0.00">
                  <c:v>3.65</c:v>
                </c:pt>
                <c:pt idx="29" formatCode="0.00">
                  <c:v>3.55</c:v>
                </c:pt>
                <c:pt idx="30">
                  <c:v>3.55</c:v>
                </c:pt>
                <c:pt idx="31">
                  <c:v>3.45</c:v>
                </c:pt>
                <c:pt idx="32">
                  <c:v>3.45</c:v>
                </c:pt>
                <c:pt idx="33" formatCode="0.0">
                  <c:v>3.45</c:v>
                </c:pt>
                <c:pt idx="34" formatCode="0.0">
                  <c:v>3.45</c:v>
                </c:pt>
                <c:pt idx="35" formatCode="0.0">
                  <c:v>3.45</c:v>
                </c:pt>
                <c:pt idx="36" formatCode="0.00">
                  <c:v>3.45</c:v>
                </c:pt>
                <c:pt idx="37" formatCode="0.00">
                  <c:v>3.45</c:v>
                </c:pt>
                <c:pt idx="38" formatCode="0.00">
                  <c:v>3.45</c:v>
                </c:pt>
                <c:pt idx="39" formatCode="0.00">
                  <c:v>3.45</c:v>
                </c:pt>
                <c:pt idx="40" formatCode="0.00">
                  <c:v>3.45</c:v>
                </c:pt>
                <c:pt idx="41" formatCode="0.00">
                  <c:v>3.45</c:v>
                </c:pt>
                <c:pt idx="42" formatCode="0.00">
                  <c:v>3.35</c:v>
                </c:pt>
                <c:pt idx="43" formatCode="0.00">
                  <c:v>3.35</c:v>
                </c:pt>
                <c:pt idx="44" formatCode="0.00">
                  <c:v>3.35</c:v>
                </c:pt>
                <c:pt idx="45" formatCode="0.00">
                  <c:v>3.1</c:v>
                </c:pt>
                <c:pt idx="46" formatCode="0.00">
                  <c:v>3.1</c:v>
                </c:pt>
                <c:pt idx="47" formatCode="0.00">
                  <c:v>3.1</c:v>
                </c:pt>
                <c:pt idx="48" formatCode="0.00">
                  <c:v>3.1</c:v>
                </c:pt>
                <c:pt idx="49" formatCode="0.00">
                  <c:v>3.1</c:v>
                </c:pt>
                <c:pt idx="50" formatCode="0.00">
                  <c:v>3.1</c:v>
                </c:pt>
                <c:pt idx="51">
                  <c:v>3.1</c:v>
                </c:pt>
                <c:pt idx="52">
                  <c:v>3.1</c:v>
                </c:pt>
                <c:pt idx="53" formatCode="0.0">
                  <c:v>3</c:v>
                </c:pt>
                <c:pt idx="54" formatCode="0.0">
                  <c:v>3</c:v>
                </c:pt>
                <c:pt idx="55" formatCode="0.0">
                  <c:v>3</c:v>
                </c:pt>
                <c:pt idx="56" formatCode="0.0">
                  <c:v>3</c:v>
                </c:pt>
                <c:pt idx="57" formatCode="0.0">
                  <c:v>3</c:v>
                </c:pt>
                <c:pt idx="58" formatCode="0.0">
                  <c:v>3</c:v>
                </c:pt>
                <c:pt idx="59" formatCode="0.0">
                  <c:v>3</c:v>
                </c:pt>
                <c:pt idx="60" formatCode="0.0">
                  <c:v>3</c:v>
                </c:pt>
                <c:pt idx="61" formatCode="0.0">
                  <c:v>3</c:v>
                </c:pt>
                <c:pt idx="62" formatCode="0.0">
                  <c:v>3</c:v>
                </c:pt>
                <c:pt idx="63" formatCode="0.0">
                  <c:v>3</c:v>
                </c:pt>
                <c:pt idx="64" formatCode="0.0">
                  <c:v>3</c:v>
                </c:pt>
                <c:pt idx="65" formatCode="0.0">
                  <c:v>3</c:v>
                </c:pt>
              </c:numCache>
            </c:numRef>
          </c:val>
          <c:smooth val="0"/>
          <c:extLst>
            <c:ext xmlns:c16="http://schemas.microsoft.com/office/drawing/2014/chart" uri="{C3380CC4-5D6E-409C-BE32-E72D297353CC}">
              <c16:uniqueId val="{00000001-C49A-4736-8E72-F0DF687DD0DF}"/>
            </c:ext>
          </c:extLst>
        </c:ser>
        <c:ser>
          <c:idx val="2"/>
          <c:order val="2"/>
          <c:tx>
            <c:strRef>
              <c:f>Sheet1!$F$1</c:f>
              <c:strCache>
                <c:ptCount val="1"/>
                <c:pt idx="0">
                  <c:v>ՌԴ</c:v>
                </c:pt>
              </c:strCache>
            </c:strRef>
          </c:tx>
          <c:spPr>
            <a:ln w="22225" cap="rnd">
              <a:solidFill>
                <a:srgbClr val="F79646">
                  <a:lumMod val="60000"/>
                  <a:lumOff val="40000"/>
                </a:srgbClr>
              </a:solidFill>
              <a:round/>
            </a:ln>
            <a:effectLst/>
          </c:spPr>
          <c:marker>
            <c:symbol val="none"/>
          </c:marker>
          <c:cat>
            <c:multiLvlStrRef>
              <c:f>Sheet1!$A$14:$B$103</c:f>
              <c:multiLvlStrCache>
                <c:ptCount val="6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lvl>
                <c:lvl>
                  <c:pt idx="0">
                    <c:v>2021</c:v>
                  </c:pt>
                  <c:pt idx="12">
                    <c:v>2022</c:v>
                  </c:pt>
                  <c:pt idx="24">
                    <c:v>2023</c:v>
                  </c:pt>
                  <c:pt idx="36">
                    <c:v>2024</c:v>
                  </c:pt>
                  <c:pt idx="48">
                    <c:v>2025</c:v>
                  </c:pt>
                  <c:pt idx="60">
                    <c:v>2026</c:v>
                  </c:pt>
                </c:lvl>
              </c:multiLvlStrCache>
            </c:multiLvlStrRef>
          </c:cat>
          <c:val>
            <c:numRef>
              <c:f>Sheet1!$F$2:$F$103</c:f>
              <c:numCache>
                <c:formatCode>General</c:formatCode>
                <c:ptCount val="66"/>
                <c:pt idx="0">
                  <c:v>4.25</c:v>
                </c:pt>
                <c:pt idx="1">
                  <c:v>4.25</c:v>
                </c:pt>
                <c:pt idx="2">
                  <c:v>4.25</c:v>
                </c:pt>
                <c:pt idx="3">
                  <c:v>4.5</c:v>
                </c:pt>
                <c:pt idx="4">
                  <c:v>5</c:v>
                </c:pt>
                <c:pt idx="5">
                  <c:v>5.5</c:v>
                </c:pt>
                <c:pt idx="6">
                  <c:v>5.5</c:v>
                </c:pt>
                <c:pt idx="7">
                  <c:v>6.5</c:v>
                </c:pt>
                <c:pt idx="8">
                  <c:v>6.75</c:v>
                </c:pt>
                <c:pt idx="9">
                  <c:v>6.75</c:v>
                </c:pt>
                <c:pt idx="10">
                  <c:v>7.5</c:v>
                </c:pt>
                <c:pt idx="11">
                  <c:v>8.5</c:v>
                </c:pt>
                <c:pt idx="12" formatCode="0.0">
                  <c:v>8.5</c:v>
                </c:pt>
                <c:pt idx="13" formatCode="0.0">
                  <c:v>9.5</c:v>
                </c:pt>
                <c:pt idx="14" formatCode="0.0">
                  <c:v>20</c:v>
                </c:pt>
                <c:pt idx="15" formatCode="0.0">
                  <c:v>17</c:v>
                </c:pt>
                <c:pt idx="16" formatCode="0.0">
                  <c:v>14</c:v>
                </c:pt>
                <c:pt idx="17" formatCode="0.0">
                  <c:v>11</c:v>
                </c:pt>
                <c:pt idx="18" formatCode="0.0">
                  <c:v>9.5</c:v>
                </c:pt>
                <c:pt idx="19" formatCode="0.0">
                  <c:v>8</c:v>
                </c:pt>
                <c:pt idx="20" formatCode="0.0">
                  <c:v>7.5</c:v>
                </c:pt>
                <c:pt idx="21" formatCode="0.0">
                  <c:v>7.5</c:v>
                </c:pt>
                <c:pt idx="22" formatCode="0.0">
                  <c:v>7.5</c:v>
                </c:pt>
                <c:pt idx="23" formatCode="0.0">
                  <c:v>7.5</c:v>
                </c:pt>
                <c:pt idx="24" formatCode="0.00">
                  <c:v>7.5</c:v>
                </c:pt>
                <c:pt idx="25" formatCode="0.00">
                  <c:v>7.5</c:v>
                </c:pt>
                <c:pt idx="26" formatCode="0.00">
                  <c:v>7.5</c:v>
                </c:pt>
                <c:pt idx="27" formatCode="0.00">
                  <c:v>7.5</c:v>
                </c:pt>
                <c:pt idx="28" formatCode="0.00">
                  <c:v>7.5</c:v>
                </c:pt>
                <c:pt idx="29" formatCode="0.00">
                  <c:v>7.5</c:v>
                </c:pt>
                <c:pt idx="30">
                  <c:v>8.5</c:v>
                </c:pt>
                <c:pt idx="31">
                  <c:v>12</c:v>
                </c:pt>
                <c:pt idx="32">
                  <c:v>13</c:v>
                </c:pt>
                <c:pt idx="33" formatCode="0.0">
                  <c:v>15</c:v>
                </c:pt>
                <c:pt idx="34" formatCode="0.0">
                  <c:v>15</c:v>
                </c:pt>
                <c:pt idx="35" formatCode="0.0">
                  <c:v>16</c:v>
                </c:pt>
                <c:pt idx="36" formatCode="0.0">
                  <c:v>16</c:v>
                </c:pt>
                <c:pt idx="37" formatCode="0.0">
                  <c:v>16</c:v>
                </c:pt>
                <c:pt idx="38" formatCode="0.0">
                  <c:v>16</c:v>
                </c:pt>
                <c:pt idx="39" formatCode="0.0">
                  <c:v>16</c:v>
                </c:pt>
                <c:pt idx="40" formatCode="0.0">
                  <c:v>16</c:v>
                </c:pt>
                <c:pt idx="41" formatCode="0.0">
                  <c:v>16</c:v>
                </c:pt>
                <c:pt idx="42" formatCode="0.00">
                  <c:v>18</c:v>
                </c:pt>
                <c:pt idx="43" formatCode="0.00">
                  <c:v>18</c:v>
                </c:pt>
                <c:pt idx="44" formatCode="0.00">
                  <c:v>19</c:v>
                </c:pt>
                <c:pt idx="45" formatCode="0.00">
                  <c:v>21</c:v>
                </c:pt>
                <c:pt idx="46" formatCode="0.00">
                  <c:v>21</c:v>
                </c:pt>
                <c:pt idx="47" formatCode="0.00">
                  <c:v>21</c:v>
                </c:pt>
                <c:pt idx="48" formatCode="0.00">
                  <c:v>21</c:v>
                </c:pt>
                <c:pt idx="49" formatCode="0.00">
                  <c:v>21</c:v>
                </c:pt>
                <c:pt idx="50" formatCode="0.00">
                  <c:v>21</c:v>
                </c:pt>
                <c:pt idx="51">
                  <c:v>21</c:v>
                </c:pt>
                <c:pt idx="52">
                  <c:v>21</c:v>
                </c:pt>
                <c:pt idx="53">
                  <c:v>20</c:v>
                </c:pt>
                <c:pt idx="54">
                  <c:v>18</c:v>
                </c:pt>
                <c:pt idx="55">
                  <c:v>18</c:v>
                </c:pt>
                <c:pt idx="56">
                  <c:v>17</c:v>
                </c:pt>
                <c:pt idx="57">
                  <c:v>16.5</c:v>
                </c:pt>
                <c:pt idx="58">
                  <c:v>16.5</c:v>
                </c:pt>
                <c:pt idx="59">
                  <c:v>16</c:v>
                </c:pt>
                <c:pt idx="60">
                  <c:v>16</c:v>
                </c:pt>
                <c:pt idx="61">
                  <c:v>15.5</c:v>
                </c:pt>
                <c:pt idx="62">
                  <c:v>15</c:v>
                </c:pt>
                <c:pt idx="63">
                  <c:v>14.5</c:v>
                </c:pt>
                <c:pt idx="64">
                  <c:v>14.5</c:v>
                </c:pt>
                <c:pt idx="65">
                  <c:v>14.25</c:v>
                </c:pt>
              </c:numCache>
            </c:numRef>
          </c:val>
          <c:smooth val="0"/>
          <c:extLst>
            <c:ext xmlns:c16="http://schemas.microsoft.com/office/drawing/2014/chart" uri="{C3380CC4-5D6E-409C-BE32-E72D297353CC}">
              <c16:uniqueId val="{00000002-C49A-4736-8E72-F0DF687DD0DF}"/>
            </c:ext>
          </c:extLst>
        </c:ser>
        <c:ser>
          <c:idx val="3"/>
          <c:order val="3"/>
          <c:tx>
            <c:strRef>
              <c:f>Sheet1!$C$1</c:f>
              <c:strCache>
                <c:ptCount val="1"/>
                <c:pt idx="0">
                  <c:v>ԱՄՆ</c:v>
                </c:pt>
              </c:strCache>
            </c:strRef>
          </c:tx>
          <c:spPr>
            <a:ln w="22225">
              <a:solidFill>
                <a:srgbClr val="1F497D"/>
              </a:solidFill>
            </a:ln>
          </c:spPr>
          <c:marker>
            <c:symbol val="none"/>
          </c:marker>
          <c:cat>
            <c:multiLvlStrRef>
              <c:f>Sheet1!$A$14:$B$103</c:f>
              <c:multiLvlStrCache>
                <c:ptCount val="66"/>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pt idx="62">
                    <c:v>3</c:v>
                  </c:pt>
                  <c:pt idx="65">
                    <c:v>6</c:v>
                  </c:pt>
                </c:lvl>
                <c:lvl>
                  <c:pt idx="0">
                    <c:v>2021</c:v>
                  </c:pt>
                  <c:pt idx="12">
                    <c:v>2022</c:v>
                  </c:pt>
                  <c:pt idx="24">
                    <c:v>2023</c:v>
                  </c:pt>
                  <c:pt idx="36">
                    <c:v>2024</c:v>
                  </c:pt>
                  <c:pt idx="48">
                    <c:v>2025</c:v>
                  </c:pt>
                  <c:pt idx="60">
                    <c:v>2026</c:v>
                  </c:pt>
                </c:lvl>
              </c:multiLvlStrCache>
            </c:multiLvlStrRef>
          </c:cat>
          <c:val>
            <c:numRef>
              <c:f>Sheet1!$C$14:$C$103</c:f>
              <c:numCache>
                <c:formatCode>General</c:formatCode>
                <c:ptCount val="66"/>
                <c:pt idx="0">
                  <c:v>0.09</c:v>
                </c:pt>
                <c:pt idx="1">
                  <c:v>0.08</c:v>
                </c:pt>
                <c:pt idx="2">
                  <c:v>7.0000000000000007E-2</c:v>
                </c:pt>
                <c:pt idx="3">
                  <c:v>7.0000000000000007E-2</c:v>
                </c:pt>
                <c:pt idx="4">
                  <c:v>0.06</c:v>
                </c:pt>
                <c:pt idx="5">
                  <c:v>0.06</c:v>
                </c:pt>
                <c:pt idx="6">
                  <c:v>0.1</c:v>
                </c:pt>
                <c:pt idx="7">
                  <c:v>0.09</c:v>
                </c:pt>
                <c:pt idx="8">
                  <c:v>0.08</c:v>
                </c:pt>
                <c:pt idx="9">
                  <c:v>0.08</c:v>
                </c:pt>
                <c:pt idx="10">
                  <c:v>0.08</c:v>
                </c:pt>
                <c:pt idx="11">
                  <c:v>0.08</c:v>
                </c:pt>
                <c:pt idx="12">
                  <c:v>0.1</c:v>
                </c:pt>
                <c:pt idx="13">
                  <c:v>0.1</c:v>
                </c:pt>
                <c:pt idx="14">
                  <c:v>0.2</c:v>
                </c:pt>
                <c:pt idx="15">
                  <c:v>0.3</c:v>
                </c:pt>
                <c:pt idx="16">
                  <c:v>0.8</c:v>
                </c:pt>
                <c:pt idx="17">
                  <c:v>1.2</c:v>
                </c:pt>
                <c:pt idx="18">
                  <c:v>1.7</c:v>
                </c:pt>
                <c:pt idx="19">
                  <c:v>2.2999999999999998</c:v>
                </c:pt>
                <c:pt idx="20">
                  <c:v>2.6</c:v>
                </c:pt>
                <c:pt idx="21">
                  <c:v>3.1</c:v>
                </c:pt>
                <c:pt idx="22">
                  <c:v>3.8</c:v>
                </c:pt>
                <c:pt idx="23">
                  <c:v>4.0999999999999996</c:v>
                </c:pt>
                <c:pt idx="24" formatCode="0.00">
                  <c:v>4.3</c:v>
                </c:pt>
                <c:pt idx="25" formatCode="0.00">
                  <c:v>4.5999999999999996</c:v>
                </c:pt>
                <c:pt idx="26" formatCode="0.00">
                  <c:v>5</c:v>
                </c:pt>
                <c:pt idx="27" formatCode="0.00">
                  <c:v>5.25</c:v>
                </c:pt>
                <c:pt idx="28" formatCode="0.00">
                  <c:v>5.25</c:v>
                </c:pt>
                <c:pt idx="29" formatCode="0.00">
                  <c:v>5.25</c:v>
                </c:pt>
                <c:pt idx="30">
                  <c:v>5.5</c:v>
                </c:pt>
                <c:pt idx="31">
                  <c:v>5.5</c:v>
                </c:pt>
                <c:pt idx="32">
                  <c:v>5.5</c:v>
                </c:pt>
                <c:pt idx="33" formatCode="0.0">
                  <c:v>5.5</c:v>
                </c:pt>
                <c:pt idx="34" formatCode="0.0">
                  <c:v>5.5</c:v>
                </c:pt>
                <c:pt idx="35" formatCode="0.0">
                  <c:v>5.5</c:v>
                </c:pt>
                <c:pt idx="36" formatCode="0.00">
                  <c:v>5.5</c:v>
                </c:pt>
                <c:pt idx="37" formatCode="0.00">
                  <c:v>5.5</c:v>
                </c:pt>
                <c:pt idx="38" formatCode="0.00">
                  <c:v>5.5</c:v>
                </c:pt>
                <c:pt idx="39" formatCode="0.00">
                  <c:v>5.5</c:v>
                </c:pt>
                <c:pt idx="40" formatCode="0.00">
                  <c:v>5.5</c:v>
                </c:pt>
                <c:pt idx="41" formatCode="0.00">
                  <c:v>5.5</c:v>
                </c:pt>
                <c:pt idx="42" formatCode="0.00">
                  <c:v>5.5</c:v>
                </c:pt>
                <c:pt idx="43" formatCode="0.00">
                  <c:v>5.5</c:v>
                </c:pt>
                <c:pt idx="44" formatCode="0.00">
                  <c:v>5</c:v>
                </c:pt>
                <c:pt idx="45" formatCode="0.00">
                  <c:v>4.75</c:v>
                </c:pt>
                <c:pt idx="46" formatCode="0.00">
                  <c:v>4.75</c:v>
                </c:pt>
                <c:pt idx="47" formatCode="0.00">
                  <c:v>4.5</c:v>
                </c:pt>
                <c:pt idx="48" formatCode="0.00">
                  <c:v>4.5</c:v>
                </c:pt>
                <c:pt idx="49" formatCode="0.00">
                  <c:v>4.5</c:v>
                </c:pt>
                <c:pt idx="50" formatCode="0.00">
                  <c:v>4.5</c:v>
                </c:pt>
                <c:pt idx="51">
                  <c:v>4.5</c:v>
                </c:pt>
                <c:pt idx="52">
                  <c:v>4.5</c:v>
                </c:pt>
                <c:pt idx="53">
                  <c:v>4.5</c:v>
                </c:pt>
                <c:pt idx="54">
                  <c:v>4.5</c:v>
                </c:pt>
                <c:pt idx="55">
                  <c:v>4.5</c:v>
                </c:pt>
                <c:pt idx="56">
                  <c:v>4.25</c:v>
                </c:pt>
                <c:pt idx="57" formatCode="0.0">
                  <c:v>4</c:v>
                </c:pt>
                <c:pt idx="58" formatCode="0.0">
                  <c:v>4</c:v>
                </c:pt>
                <c:pt idx="59">
                  <c:v>3.75</c:v>
                </c:pt>
                <c:pt idx="60">
                  <c:v>3.75</c:v>
                </c:pt>
                <c:pt idx="61">
                  <c:v>3.75</c:v>
                </c:pt>
                <c:pt idx="62">
                  <c:v>3.75</c:v>
                </c:pt>
                <c:pt idx="63">
                  <c:v>3.75</c:v>
                </c:pt>
                <c:pt idx="64">
                  <c:v>3.75</c:v>
                </c:pt>
                <c:pt idx="65">
                  <c:v>3.75</c:v>
                </c:pt>
              </c:numCache>
            </c:numRef>
          </c:val>
          <c:smooth val="0"/>
          <c:extLst>
            <c:ext xmlns:c16="http://schemas.microsoft.com/office/drawing/2014/chart" uri="{C3380CC4-5D6E-409C-BE32-E72D297353CC}">
              <c16:uniqueId val="{00000003-C49A-4736-8E72-F0DF687DD0DF}"/>
            </c:ext>
          </c:extLst>
        </c:ser>
        <c:dLbls>
          <c:showLegendKey val="0"/>
          <c:showVal val="0"/>
          <c:showCatName val="0"/>
          <c:showSerName val="0"/>
          <c:showPercent val="0"/>
          <c:showBubbleSize val="0"/>
        </c:dLbls>
        <c:smooth val="0"/>
        <c:axId val="-412813920"/>
        <c:axId val="-412812288"/>
      </c:lineChart>
      <c:catAx>
        <c:axId val="-41281392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12812288"/>
        <c:crosses val="autoZero"/>
        <c:auto val="1"/>
        <c:lblAlgn val="ctr"/>
        <c:lblOffset val="100"/>
        <c:noMultiLvlLbl val="0"/>
      </c:catAx>
      <c:valAx>
        <c:axId val="-412812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12813920"/>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sz="1000" b="0" baseline="0">
                <a:solidFill>
                  <a:schemeClr val="tx1">
                    <a:lumMod val="65000"/>
                    <a:lumOff val="35000"/>
                  </a:schemeClr>
                </a:solidFill>
              </a:defRPr>
            </a:pPr>
            <a:r>
              <a:rPr lang="en-US" sz="1000" b="0" baseline="0">
                <a:solidFill>
                  <a:schemeClr val="tx1">
                    <a:lumMod val="65000"/>
                    <a:lumOff val="35000"/>
                  </a:schemeClr>
                </a:solidFill>
              </a:rPr>
              <a:t>Ավանդների ծավալների աճ</a:t>
            </a:r>
            <a:r>
              <a:rPr lang="hy-AM" sz="1000" b="0" baseline="0">
                <a:solidFill>
                  <a:schemeClr val="tx1">
                    <a:lumMod val="65000"/>
                    <a:lumOff val="35000"/>
                  </a:schemeClr>
                </a:solidFill>
              </a:rPr>
              <a:t> </a:t>
            </a:r>
            <a:r>
              <a:rPr lang="ru-RU" sz="1000" b="0" baseline="0">
                <a:solidFill>
                  <a:schemeClr val="tx1">
                    <a:lumMod val="65000"/>
                    <a:lumOff val="35000"/>
                  </a:schemeClr>
                </a:solidFill>
              </a:rPr>
              <a:t>(</a:t>
            </a:r>
            <a:r>
              <a:rPr lang="hy-AM" sz="1000" b="0" baseline="0">
                <a:solidFill>
                  <a:schemeClr val="tx1">
                    <a:lumMod val="65000"/>
                    <a:lumOff val="35000"/>
                  </a:schemeClr>
                </a:solidFill>
              </a:rPr>
              <a:t>ռեզիդենտների</a:t>
            </a:r>
            <a:r>
              <a:rPr lang="ru-RU" sz="1000" b="0" baseline="0">
                <a:solidFill>
                  <a:schemeClr val="tx1">
                    <a:lumMod val="65000"/>
                    <a:lumOff val="35000"/>
                  </a:schemeClr>
                </a:solidFill>
              </a:rPr>
              <a:t>)</a:t>
            </a:r>
            <a:r>
              <a:rPr lang="en-US" sz="1000" b="0" baseline="0">
                <a:solidFill>
                  <a:schemeClr val="tx1">
                    <a:lumMod val="65000"/>
                    <a:lumOff val="35000"/>
                  </a:schemeClr>
                </a:solidFill>
              </a:rPr>
              <a:t>, 20</a:t>
            </a:r>
            <a:r>
              <a:rPr lang="hy-AM" sz="1000" b="0" baseline="0">
                <a:solidFill>
                  <a:schemeClr val="tx1">
                    <a:lumMod val="65000"/>
                    <a:lumOff val="35000"/>
                  </a:schemeClr>
                </a:solidFill>
              </a:rPr>
              <a:t>25-</a:t>
            </a:r>
            <a:r>
              <a:rPr lang="en-US" sz="1000" b="0" baseline="0">
                <a:solidFill>
                  <a:schemeClr val="tx1">
                    <a:lumMod val="65000"/>
                    <a:lumOff val="35000"/>
                  </a:schemeClr>
                </a:solidFill>
              </a:rPr>
              <a:t>20</a:t>
            </a:r>
            <a:r>
              <a:rPr lang="hy-AM" sz="1000" b="0" baseline="0">
                <a:solidFill>
                  <a:schemeClr val="tx1">
                    <a:lumMod val="65000"/>
                    <a:lumOff val="35000"/>
                  </a:schemeClr>
                </a:solidFill>
              </a:rPr>
              <a:t>26</a:t>
            </a:r>
            <a:r>
              <a:rPr lang="en-US" sz="1000" b="0" baseline="0">
                <a:solidFill>
                  <a:schemeClr val="tx1">
                    <a:lumMod val="65000"/>
                    <a:lumOff val="35000"/>
                  </a:schemeClr>
                </a:solidFill>
              </a:rPr>
              <a:t>թ</a:t>
            </a:r>
            <a:r>
              <a:rPr lang="hy-AM" sz="1000" b="0" baseline="0">
                <a:solidFill>
                  <a:schemeClr val="tx1">
                    <a:lumMod val="65000"/>
                    <a:lumOff val="35000"/>
                  </a:schemeClr>
                </a:solidFill>
              </a:rPr>
              <a:t>թ</a:t>
            </a:r>
            <a:r>
              <a:rPr lang="en-US" sz="1000" b="0" i="0" u="none" strike="noStrike" kern="1200" baseline="0">
                <a:solidFill>
                  <a:schemeClr val="tx1">
                    <a:lumMod val="65000"/>
                    <a:lumOff val="35000"/>
                  </a:schemeClr>
                </a:solidFill>
                <a:latin typeface="GHEA Grapalat" panose="02000506050000020003" pitchFamily="50" charset="0"/>
                <a:ea typeface="+mn-ea"/>
                <a:cs typeface="+mn-cs"/>
              </a:rPr>
              <a:t>.</a:t>
            </a:r>
            <a:endParaRPr lang="en-US" sz="1000" b="0" baseline="0">
              <a:solidFill>
                <a:schemeClr val="tx1">
                  <a:lumMod val="65000"/>
                  <a:lumOff val="35000"/>
                </a:schemeClr>
              </a:solidFill>
            </a:endParaRPr>
          </a:p>
        </c:rich>
      </c:tx>
      <c:layout>
        <c:manualLayout>
          <c:xMode val="edge"/>
          <c:yMode val="edge"/>
          <c:x val="0.19190750715102073"/>
          <c:y val="1.1682073709797002E-2"/>
        </c:manualLayout>
      </c:layout>
      <c:overlay val="0"/>
    </c:title>
    <c:autoTitleDeleted val="0"/>
    <c:plotArea>
      <c:layout>
        <c:manualLayout>
          <c:layoutTarget val="inner"/>
          <c:xMode val="edge"/>
          <c:yMode val="edge"/>
          <c:x val="4.3464888974767725E-2"/>
          <c:y val="0.17416003264200577"/>
          <c:w val="0.83504548144718005"/>
          <c:h val="0.52910908186536276"/>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1CB0-44B6-9DB9-C526F586D607}"/>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1CB0-44B6-9DB9-C526F586D607}"/>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1CB0-44B6-9DB9-C526F586D607}"/>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1CB0-44B6-9DB9-C526F586D607}"/>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1CB0-44B6-9DB9-C526F586D607}"/>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Ref>
          </c:val>
          <c:smooth val="0"/>
          <c:extLst>
            <c:ext xmlns:c16="http://schemas.microsoft.com/office/drawing/2014/chart" uri="{C3380CC4-5D6E-409C-BE32-E72D297353CC}">
              <c16:uniqueId val="{00000005-1CB0-44B6-9DB9-C526F586D607}"/>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6-1CB0-44B6-9DB9-C526F586D607}"/>
            </c:ext>
          </c:extLst>
        </c:ser>
        <c:ser>
          <c:idx val="7"/>
          <c:order val="7"/>
          <c:tx>
            <c:strRef>
              <c:f>Sheet1!$I$1</c:f>
              <c:strCache>
                <c:ptCount val="1"/>
                <c:pt idx="0">
                  <c:v>2024</c:v>
                </c:pt>
              </c:strCache>
            </c:strRef>
          </c:tx>
          <c:spPr>
            <a:ln>
              <a:solidFill>
                <a:srgbClr val="F79646">
                  <a:lumMod val="40000"/>
                  <a:lumOff val="60000"/>
                </a:srgbClr>
              </a:solidFill>
            </a:ln>
          </c:spPr>
          <c:marker>
            <c:symbol val="circle"/>
            <c:size val="5"/>
            <c:spPr>
              <a:solidFill>
                <a:srgbClr val="F79646">
                  <a:lumMod val="40000"/>
                  <a:lumOff val="60000"/>
                </a:srgbClr>
              </a:solidFill>
              <a:ln>
                <a:solidFill>
                  <a:srgbClr val="F79646">
                    <a:lumMod val="40000"/>
                    <a:lumOff val="6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Ref>
          </c:val>
          <c:smooth val="0"/>
          <c:extLst>
            <c:ext xmlns:c16="http://schemas.microsoft.com/office/drawing/2014/chart" uri="{C3380CC4-5D6E-409C-BE32-E72D297353CC}">
              <c16:uniqueId val="{00000007-1CB0-44B6-9DB9-C526F586D607}"/>
            </c:ext>
          </c:extLst>
        </c:ser>
        <c:ser>
          <c:idx val="8"/>
          <c:order val="8"/>
          <c:tx>
            <c:strRef>
              <c:f>Sheet1!$J$1</c:f>
              <c:strCache>
                <c:ptCount val="1"/>
                <c:pt idx="0">
                  <c:v>2025</c:v>
                </c:pt>
              </c:strCache>
            </c:strRef>
          </c:tx>
          <c:spPr>
            <a:ln>
              <a:solidFill>
                <a:srgbClr val="4F81BD">
                  <a:lumMod val="75000"/>
                </a:srgbClr>
              </a:solidFill>
            </a:ln>
          </c:spPr>
          <c:marker>
            <c:symbol val="circle"/>
            <c:size val="5"/>
            <c:spPr>
              <a:solidFill>
                <a:srgbClr val="4F81BD">
                  <a:lumMod val="75000"/>
                </a:srgbClr>
              </a:solidFill>
              <a:ln>
                <a:solidFill>
                  <a:srgbClr val="4F81B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Sheet1!$J$2:$J$13</c:f>
              <c:numCache>
                <c:formatCode>0.0</c:formatCode>
                <c:ptCount val="12"/>
                <c:pt idx="0">
                  <c:v>14.524215530804156</c:v>
                </c:pt>
                <c:pt idx="1">
                  <c:v>13.739576713104839</c:v>
                </c:pt>
                <c:pt idx="2">
                  <c:v>16.693574575377951</c:v>
                </c:pt>
                <c:pt idx="3">
                  <c:v>18.424003037808646</c:v>
                </c:pt>
                <c:pt idx="4">
                  <c:v>13.809091882605415</c:v>
                </c:pt>
                <c:pt idx="5">
                  <c:v>16.704686280619541</c:v>
                </c:pt>
                <c:pt idx="6">
                  <c:v>16.809702645798438</c:v>
                </c:pt>
                <c:pt idx="7">
                  <c:v>15.840991542015885</c:v>
                </c:pt>
                <c:pt idx="8">
                  <c:v>16.488275697098743</c:v>
                </c:pt>
                <c:pt idx="9">
                  <c:v>17.798490065532974</c:v>
                </c:pt>
                <c:pt idx="10">
                  <c:v>16.520207644481715</c:v>
                </c:pt>
                <c:pt idx="11">
                  <c:v>18.216822842386662</c:v>
                </c:pt>
              </c:numCache>
            </c:numRef>
          </c:val>
          <c:smooth val="0"/>
          <c:extLst>
            <c:ext xmlns:c16="http://schemas.microsoft.com/office/drawing/2014/chart" uri="{C3380CC4-5D6E-409C-BE32-E72D297353CC}">
              <c16:uniqueId val="{00000008-1CB0-44B6-9DB9-C526F586D607}"/>
            </c:ext>
          </c:extLst>
        </c:ser>
        <c:ser>
          <c:idx val="9"/>
          <c:order val="9"/>
          <c:tx>
            <c:strRef>
              <c:f>Sheet1!$K$1</c:f>
              <c:strCache>
                <c:ptCount val="1"/>
                <c:pt idx="0">
                  <c:v>2026</c:v>
                </c:pt>
              </c:strCache>
            </c:strRef>
          </c:tx>
          <c:spPr>
            <a:ln>
              <a:solidFill>
                <a:srgbClr val="F79646">
                  <a:lumMod val="40000"/>
                  <a:lumOff val="60000"/>
                </a:srgbClr>
              </a:solidFill>
            </a:ln>
          </c:spPr>
          <c:marker>
            <c:symbol val="circle"/>
            <c:size val="5"/>
            <c:spPr>
              <a:solidFill>
                <a:srgbClr val="F79646">
                  <a:lumMod val="40000"/>
                  <a:lumOff val="60000"/>
                </a:srgbClr>
              </a:solidFill>
              <a:ln>
                <a:solidFill>
                  <a:srgbClr val="F79646">
                    <a:lumMod val="40000"/>
                    <a:lumOff val="6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Sheet1!$K$2:$K$13</c:f>
              <c:numCache>
                <c:formatCode>0.0</c:formatCode>
                <c:ptCount val="12"/>
                <c:pt idx="0">
                  <c:v>18.607194973674709</c:v>
                </c:pt>
                <c:pt idx="1">
                  <c:v>19.559530329818031</c:v>
                </c:pt>
                <c:pt idx="2">
                  <c:v>19.844664578383941</c:v>
                </c:pt>
                <c:pt idx="3">
                  <c:v>21.900420284859635</c:v>
                </c:pt>
                <c:pt idx="4">
                  <c:v>24.204068584006563</c:v>
                </c:pt>
                <c:pt idx="5">
                  <c:v>24.304438740340402</c:v>
                </c:pt>
              </c:numCache>
            </c:numRef>
          </c:val>
          <c:smooth val="0"/>
          <c:extLst>
            <c:ext xmlns:c16="http://schemas.microsoft.com/office/drawing/2014/chart" uri="{C3380CC4-5D6E-409C-BE32-E72D297353CC}">
              <c16:uniqueId val="{00000009-1CB0-44B6-9DB9-C526F586D607}"/>
            </c:ext>
          </c:extLst>
        </c:ser>
        <c:dLbls>
          <c:showLegendKey val="0"/>
          <c:showVal val="0"/>
          <c:showCatName val="0"/>
          <c:showSerName val="0"/>
          <c:showPercent val="0"/>
          <c:showBubbleSize val="0"/>
        </c:dLbls>
        <c:marker val="1"/>
        <c:smooth val="0"/>
        <c:axId val="340384768"/>
        <c:axId val="340390656"/>
      </c:lineChart>
      <c:catAx>
        <c:axId val="340384768"/>
        <c:scaling>
          <c:orientation val="minMax"/>
        </c:scaling>
        <c:delete val="0"/>
        <c:axPos val="b"/>
        <c:numFmt formatCode="General" sourceLinked="1"/>
        <c:majorTickMark val="none"/>
        <c:minorTickMark val="none"/>
        <c:tickLblPos val="nextTo"/>
        <c:spPr>
          <a:ln>
            <a:noFill/>
          </a:ln>
        </c:spPr>
        <c:txPr>
          <a:bodyPr rot="0" vert="horz"/>
          <a:lstStyle/>
          <a:p>
            <a:pPr>
              <a:defRPr baseline="0">
                <a:solidFill>
                  <a:schemeClr val="tx1">
                    <a:lumMod val="65000"/>
                    <a:lumOff val="35000"/>
                  </a:schemeClr>
                </a:solidFill>
              </a:defRPr>
            </a:pPr>
            <a:endParaRPr lang="en-US"/>
          </a:p>
        </c:txPr>
        <c:crossAx val="340390656"/>
        <c:crosses val="autoZero"/>
        <c:auto val="1"/>
        <c:lblAlgn val="ctr"/>
        <c:lblOffset val="100"/>
        <c:noMultiLvlLbl val="0"/>
      </c:catAx>
      <c:valAx>
        <c:axId val="340390656"/>
        <c:scaling>
          <c:orientation val="minMax"/>
          <c:max val="35"/>
          <c:min val="10"/>
        </c:scaling>
        <c:delete val="0"/>
        <c:axPos val="l"/>
        <c:majorGridlines>
          <c:spPr>
            <a:ln>
              <a:solidFill>
                <a:sysClr val="window" lastClr="FFFFFF">
                  <a:lumMod val="85000"/>
                </a:sysClr>
              </a:solidFill>
            </a:ln>
          </c:spPr>
        </c:majorGridlines>
        <c:numFmt formatCode="0" sourceLinked="0"/>
        <c:majorTickMark val="none"/>
        <c:minorTickMark val="none"/>
        <c:tickLblPos val="nextTo"/>
        <c:spPr>
          <a:ln>
            <a:noFill/>
          </a:ln>
        </c:spPr>
        <c:txPr>
          <a:bodyPr/>
          <a:lstStyle/>
          <a:p>
            <a:pPr>
              <a:defRPr baseline="0">
                <a:solidFill>
                  <a:schemeClr val="tx1">
                    <a:lumMod val="65000"/>
                    <a:lumOff val="35000"/>
                  </a:schemeClr>
                </a:solidFill>
              </a:defRPr>
            </a:pPr>
            <a:endParaRPr lang="en-US"/>
          </a:p>
        </c:txPr>
        <c:crossAx val="340384768"/>
        <c:crosses val="autoZero"/>
        <c:crossBetween val="between"/>
      </c:valAx>
    </c:plotArea>
    <c:legend>
      <c:legendPos val="r"/>
      <c:layout>
        <c:manualLayout>
          <c:xMode val="edge"/>
          <c:yMode val="edge"/>
          <c:x val="6.7327254702624878E-2"/>
          <c:y val="0.82463787974059855"/>
          <c:w val="0.21170809943865276"/>
          <c:h val="0.17536212025940143"/>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aseline="0">
                <a:solidFill>
                  <a:schemeClr val="tx1">
                    <a:lumMod val="65000"/>
                    <a:lumOff val="35000"/>
                  </a:schemeClr>
                </a:solidFill>
              </a:rPr>
              <a:t>Ռեզիդենտների վարկային պորտֆելը, մլրդ ՀՀ դրամ</a:t>
            </a:r>
            <a:endParaRPr lang="en-US" sz="1000" baseline="0">
              <a:solidFill>
                <a:schemeClr val="tx1">
                  <a:lumMod val="65000"/>
                  <a:lumOff val="35000"/>
                </a:schemeClr>
              </a:solidFill>
            </a:endParaRPr>
          </a:p>
        </c:rich>
      </c:tx>
      <c:layout>
        <c:manualLayout>
          <c:xMode val="edge"/>
          <c:yMode val="edge"/>
          <c:x val="0.17814659682631792"/>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360858350919392"/>
          <c:y val="0.16673605986682757"/>
          <c:w val="0.79291716777477739"/>
          <c:h val="0.42353908383621303"/>
        </c:manualLayout>
      </c:layout>
      <c:areaChart>
        <c:grouping val="standard"/>
        <c:varyColors val="0"/>
        <c:ser>
          <c:idx val="5"/>
          <c:order val="5"/>
          <c:tx>
            <c:strRef>
              <c:f>Sheet1!#REF!</c:f>
              <c:strCache>
                <c:ptCount val="1"/>
                <c:pt idx="0">
                  <c:v>#REF!</c:v>
                </c:pt>
              </c:strCache>
            </c:strRef>
          </c:tx>
          <c:spPr>
            <a:solidFill>
              <a:schemeClr val="accent6"/>
            </a:solidFill>
            <a:ln>
              <a:noFill/>
            </a:ln>
            <a:effectLst/>
          </c:spPr>
          <c:cat>
            <c:strRef>
              <c:f>Sheet1!$B$2:$B$82</c:f>
              <c:strCache>
                <c:ptCount val="22"/>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strCache>
            </c:strRef>
          </c:cat>
          <c:val>
            <c:numRef>
              <c:f>Sheet1!#REF!</c:f>
              <c:numCache>
                <c:formatCode>General</c:formatCode>
                <c:ptCount val="1"/>
                <c:pt idx="0">
                  <c:v>1</c:v>
                </c:pt>
              </c:numCache>
            </c:numRef>
          </c:val>
          <c:extLst>
            <c:ext xmlns:c16="http://schemas.microsoft.com/office/drawing/2014/chart" uri="{C3380CC4-5D6E-409C-BE32-E72D297353CC}">
              <c16:uniqueId val="{00000000-F470-45ED-A289-81469EE07915}"/>
            </c:ext>
          </c:extLst>
        </c:ser>
        <c:ser>
          <c:idx val="6"/>
          <c:order val="6"/>
          <c:tx>
            <c:strRef>
              <c:f>Sheet1!#REF!</c:f>
              <c:strCache>
                <c:ptCount val="1"/>
                <c:pt idx="0">
                  <c:v>#REF!</c:v>
                </c:pt>
              </c:strCache>
            </c:strRef>
          </c:tx>
          <c:spPr>
            <a:solidFill>
              <a:schemeClr val="tx2">
                <a:lumMod val="20000"/>
                <a:lumOff val="80000"/>
                <a:alpha val="50000"/>
              </a:schemeClr>
            </a:solidFill>
            <a:ln>
              <a:noFill/>
            </a:ln>
            <a:effectLst/>
          </c:spPr>
          <c:cat>
            <c:strRef>
              <c:f>Sheet1!$B$2:$B$82</c:f>
              <c:strCache>
                <c:ptCount val="22"/>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strCache>
            </c:strRef>
          </c:cat>
          <c:val>
            <c:numRef>
              <c:f>Sheet1!#REF!</c:f>
              <c:numCache>
                <c:formatCode>General</c:formatCode>
                <c:ptCount val="1"/>
                <c:pt idx="0">
                  <c:v>1</c:v>
                </c:pt>
              </c:numCache>
            </c:numRef>
          </c:val>
          <c:extLst>
            <c:ext xmlns:c16="http://schemas.microsoft.com/office/drawing/2014/chart" uri="{C3380CC4-5D6E-409C-BE32-E72D297353CC}">
              <c16:uniqueId val="{00000001-F470-45ED-A289-81469EE07915}"/>
            </c:ext>
          </c:extLst>
        </c:ser>
        <c:dLbls>
          <c:showLegendKey val="0"/>
          <c:showVal val="0"/>
          <c:showCatName val="0"/>
          <c:showSerName val="0"/>
          <c:showPercent val="0"/>
          <c:showBubbleSize val="0"/>
        </c:dLbls>
        <c:axId val="795307992"/>
        <c:axId val="795308320"/>
      </c:areaChart>
      <c:barChart>
        <c:barDir val="col"/>
        <c:grouping val="stacked"/>
        <c:varyColors val="0"/>
        <c:ser>
          <c:idx val="0"/>
          <c:order val="0"/>
          <c:tx>
            <c:strRef>
              <c:f>Sheet1!$C$1</c:f>
              <c:strCache>
                <c:ptCount val="1"/>
                <c:pt idx="0">
                  <c:v>Տնտեսության ճյուղերին ուղղված վարկեր</c:v>
                </c:pt>
              </c:strCache>
            </c:strRef>
          </c:tx>
          <c:spPr>
            <a:solidFill>
              <a:srgbClr val="4F81BD">
                <a:lumMod val="50000"/>
              </a:srgbClr>
            </a:solidFill>
            <a:ln>
              <a:noFill/>
            </a:ln>
            <a:effectLst/>
          </c:spPr>
          <c:invertIfNegative val="0"/>
          <c:cat>
            <c:multiLvlStrRef>
              <c:f>Sheet1!$A$16:$B$82</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Sheet1!$C$2:$C$82</c:f>
              <c:numCache>
                <c:formatCode>0.0</c:formatCode>
                <c:ptCount val="22"/>
                <c:pt idx="0">
                  <c:v>2058.2904445340987</c:v>
                </c:pt>
                <c:pt idx="1">
                  <c:v>1874.9306325566433</c:v>
                </c:pt>
                <c:pt idx="2">
                  <c:v>1864.8345049899881</c:v>
                </c:pt>
                <c:pt idx="3">
                  <c:v>1866.9592440000001</c:v>
                </c:pt>
                <c:pt idx="4">
                  <c:v>1953.3413880000001</c:v>
                </c:pt>
                <c:pt idx="5">
                  <c:v>1864.9754969999999</c:v>
                </c:pt>
                <c:pt idx="6">
                  <c:v>1932.2040400000001</c:v>
                </c:pt>
                <c:pt idx="7">
                  <c:v>2018.1391098068989</c:v>
                </c:pt>
                <c:pt idx="8">
                  <c:v>2021.4417943470046</c:v>
                </c:pt>
                <c:pt idx="9">
                  <c:v>2091.7471015572514</c:v>
                </c:pt>
                <c:pt idx="10">
                  <c:v>2208.6069765205998</c:v>
                </c:pt>
                <c:pt idx="11">
                  <c:v>2356.6030171250004</c:v>
                </c:pt>
                <c:pt idx="12">
                  <c:v>2331.0238533331003</c:v>
                </c:pt>
                <c:pt idx="13">
                  <c:v>2462.7363195613998</c:v>
                </c:pt>
                <c:pt idx="14">
                  <c:v>2642.0447835650994</c:v>
                </c:pt>
                <c:pt idx="15">
                  <c:v>2832.9139404473999</c:v>
                </c:pt>
                <c:pt idx="16">
                  <c:v>2928.1275937799001</c:v>
                </c:pt>
                <c:pt idx="17">
                  <c:v>3026.8358457233003</c:v>
                </c:pt>
                <c:pt idx="18">
                  <c:v>3185.1799574486004</c:v>
                </c:pt>
                <c:pt idx="19">
                  <c:v>3493.3312415639998</c:v>
                </c:pt>
                <c:pt idx="20">
                  <c:v>3671.7650511889988</c:v>
                </c:pt>
                <c:pt idx="21">
                  <c:v>4078.3762692759997</c:v>
                </c:pt>
              </c:numCache>
            </c:numRef>
          </c:val>
          <c:extLst>
            <c:ext xmlns:c16="http://schemas.microsoft.com/office/drawing/2014/chart" uri="{C3380CC4-5D6E-409C-BE32-E72D297353CC}">
              <c16:uniqueId val="{00000002-F470-45ED-A289-81469EE07915}"/>
            </c:ext>
          </c:extLst>
        </c:ser>
        <c:ser>
          <c:idx val="1"/>
          <c:order val="1"/>
          <c:tx>
            <c:strRef>
              <c:f>Sheet1!$D$1</c:f>
              <c:strCache>
                <c:ptCount val="1"/>
                <c:pt idx="0">
                  <c:v>Սպառողական վարկեր</c:v>
                </c:pt>
              </c:strCache>
            </c:strRef>
          </c:tx>
          <c:spPr>
            <a:solidFill>
              <a:srgbClr val="F79646">
                <a:lumMod val="60000"/>
                <a:lumOff val="40000"/>
              </a:srgbClr>
            </a:solidFill>
            <a:ln>
              <a:noFill/>
            </a:ln>
            <a:effectLst/>
          </c:spPr>
          <c:invertIfNegative val="0"/>
          <c:cat>
            <c:multiLvlStrRef>
              <c:f>Sheet1!$A$16:$B$82</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Sheet1!$D$2:$D$82</c:f>
              <c:numCache>
                <c:formatCode>0.0</c:formatCode>
                <c:ptCount val="22"/>
                <c:pt idx="0">
                  <c:v>915.56433019917631</c:v>
                </c:pt>
                <c:pt idx="1">
                  <c:v>871.24731988103053</c:v>
                </c:pt>
                <c:pt idx="2">
                  <c:v>833.16175229414921</c:v>
                </c:pt>
                <c:pt idx="3">
                  <c:v>824.83726100000001</c:v>
                </c:pt>
                <c:pt idx="4">
                  <c:v>834.40724999999998</c:v>
                </c:pt>
                <c:pt idx="5">
                  <c:v>828.159403</c:v>
                </c:pt>
                <c:pt idx="6">
                  <c:v>837.56598800000006</c:v>
                </c:pt>
                <c:pt idx="7">
                  <c:v>895.46070828430993</c:v>
                </c:pt>
                <c:pt idx="8">
                  <c:v>928.58755423187995</c:v>
                </c:pt>
                <c:pt idx="9">
                  <c:v>962.64040905260003</c:v>
                </c:pt>
                <c:pt idx="10">
                  <c:v>1039.2026646000031</c:v>
                </c:pt>
                <c:pt idx="11">
                  <c:v>1088.676474931993</c:v>
                </c:pt>
                <c:pt idx="12">
                  <c:v>1160.6518448510201</c:v>
                </c:pt>
                <c:pt idx="13">
                  <c:v>1208.4410275667799</c:v>
                </c:pt>
                <c:pt idx="14">
                  <c:v>1286.4818304045698</c:v>
                </c:pt>
                <c:pt idx="15">
                  <c:v>1394.6282937255992</c:v>
                </c:pt>
                <c:pt idx="16">
                  <c:v>1481.2888778763395</c:v>
                </c:pt>
                <c:pt idx="17">
                  <c:v>1577.6867609645908</c:v>
                </c:pt>
                <c:pt idx="18">
                  <c:v>1686.3711567734595</c:v>
                </c:pt>
                <c:pt idx="19">
                  <c:v>1807.520175670071</c:v>
                </c:pt>
                <c:pt idx="20">
                  <c:v>1909.9423420990101</c:v>
                </c:pt>
                <c:pt idx="21">
                  <c:v>2011.2960777599794</c:v>
                </c:pt>
              </c:numCache>
            </c:numRef>
          </c:val>
          <c:extLst>
            <c:ext xmlns:c16="http://schemas.microsoft.com/office/drawing/2014/chart" uri="{C3380CC4-5D6E-409C-BE32-E72D297353CC}">
              <c16:uniqueId val="{00000003-F470-45ED-A289-81469EE07915}"/>
            </c:ext>
          </c:extLst>
        </c:ser>
        <c:ser>
          <c:idx val="2"/>
          <c:order val="2"/>
          <c:tx>
            <c:strRef>
              <c:f>Sheet1!$E$1</c:f>
              <c:strCache>
                <c:ptCount val="1"/>
                <c:pt idx="0">
                  <c:v>Հիպոտեկային վարկեր</c:v>
                </c:pt>
              </c:strCache>
            </c:strRef>
          </c:tx>
          <c:spPr>
            <a:solidFill>
              <a:schemeClr val="accent3"/>
            </a:solidFill>
            <a:ln>
              <a:noFill/>
            </a:ln>
            <a:effectLst/>
          </c:spPr>
          <c:invertIfNegative val="0"/>
          <c:cat>
            <c:multiLvlStrRef>
              <c:f>Sheet1!$A$16:$B$82</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Sheet1!$E$2:$E$82</c:f>
              <c:numCache>
                <c:formatCode>0.0</c:formatCode>
                <c:ptCount val="22"/>
                <c:pt idx="0">
                  <c:v>517.18580457345661</c:v>
                </c:pt>
                <c:pt idx="1">
                  <c:v>551.45232219393165</c:v>
                </c:pt>
                <c:pt idx="2">
                  <c:v>587.25406379402125</c:v>
                </c:pt>
                <c:pt idx="3">
                  <c:v>654.66754500000002</c:v>
                </c:pt>
                <c:pt idx="4">
                  <c:v>698.01737800000001</c:v>
                </c:pt>
                <c:pt idx="5">
                  <c:v>721.901929</c:v>
                </c:pt>
                <c:pt idx="6">
                  <c:v>780.3971140000001</c:v>
                </c:pt>
                <c:pt idx="7">
                  <c:v>849.39562202326942</c:v>
                </c:pt>
                <c:pt idx="8">
                  <c:v>897.7484755981593</c:v>
                </c:pt>
                <c:pt idx="9">
                  <c:v>958.98347913076861</c:v>
                </c:pt>
                <c:pt idx="10">
                  <c:v>997.16700525499812</c:v>
                </c:pt>
                <c:pt idx="11">
                  <c:v>1070.8564107810053</c:v>
                </c:pt>
                <c:pt idx="12">
                  <c:v>1109.28642831</c:v>
                </c:pt>
                <c:pt idx="13">
                  <c:v>1175.328859767304</c:v>
                </c:pt>
                <c:pt idx="14">
                  <c:v>1271.3692766139</c:v>
                </c:pt>
                <c:pt idx="15">
                  <c:v>1471.2920880285003</c:v>
                </c:pt>
                <c:pt idx="16">
                  <c:v>1497.9559209028898</c:v>
                </c:pt>
                <c:pt idx="17">
                  <c:v>1536.6282225789901</c:v>
                </c:pt>
                <c:pt idx="18">
                  <c:v>1582.3529182146005</c:v>
                </c:pt>
                <c:pt idx="19">
                  <c:v>1665.5454955079899</c:v>
                </c:pt>
                <c:pt idx="20">
                  <c:v>1704.3955077369997</c:v>
                </c:pt>
                <c:pt idx="21">
                  <c:v>1787.263361241</c:v>
                </c:pt>
              </c:numCache>
            </c:numRef>
          </c:val>
          <c:extLst>
            <c:ext xmlns:c16="http://schemas.microsoft.com/office/drawing/2014/chart" uri="{C3380CC4-5D6E-409C-BE32-E72D297353CC}">
              <c16:uniqueId val="{00000004-F470-45ED-A289-81469EE07915}"/>
            </c:ext>
          </c:extLst>
        </c:ser>
        <c:ser>
          <c:idx val="3"/>
          <c:order val="3"/>
          <c:tx>
            <c:strRef>
              <c:f>Sheet1!$F$1</c:f>
              <c:strCache>
                <c:ptCount val="1"/>
                <c:pt idx="0">
                  <c:v>Սպասարկման ոլորտ և այլ վարկեր</c:v>
                </c:pt>
              </c:strCache>
            </c:strRef>
          </c:tx>
          <c:spPr>
            <a:solidFill>
              <a:schemeClr val="accent4"/>
            </a:solidFill>
            <a:ln>
              <a:noFill/>
            </a:ln>
            <a:effectLst/>
          </c:spPr>
          <c:invertIfNegative val="0"/>
          <c:cat>
            <c:multiLvlStrRef>
              <c:f>Sheet1!$A$16:$B$82</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Sheet1!$F$2:$F$82</c:f>
              <c:numCache>
                <c:formatCode>0.0</c:formatCode>
                <c:ptCount val="22"/>
                <c:pt idx="0">
                  <c:v>477.66297262712123</c:v>
                </c:pt>
                <c:pt idx="1">
                  <c:v>434.6472495153028</c:v>
                </c:pt>
                <c:pt idx="2">
                  <c:v>429.08388992184149</c:v>
                </c:pt>
                <c:pt idx="3">
                  <c:v>443.62948399999999</c:v>
                </c:pt>
                <c:pt idx="4">
                  <c:v>438.92346199999997</c:v>
                </c:pt>
                <c:pt idx="5">
                  <c:v>400.65679299999999</c:v>
                </c:pt>
                <c:pt idx="6">
                  <c:v>387.72454200000004</c:v>
                </c:pt>
                <c:pt idx="7">
                  <c:v>405.21387513044152</c:v>
                </c:pt>
                <c:pt idx="8">
                  <c:v>418.34897553184402</c:v>
                </c:pt>
                <c:pt idx="9">
                  <c:v>443.52250804943395</c:v>
                </c:pt>
                <c:pt idx="10">
                  <c:v>470.49682752000001</c:v>
                </c:pt>
                <c:pt idx="11">
                  <c:v>513.69827668400012</c:v>
                </c:pt>
                <c:pt idx="12">
                  <c:v>498.17026908099996</c:v>
                </c:pt>
                <c:pt idx="13">
                  <c:v>520.70121475239989</c:v>
                </c:pt>
                <c:pt idx="14">
                  <c:v>596.82132662229992</c:v>
                </c:pt>
                <c:pt idx="15">
                  <c:v>651.66103490920011</c:v>
                </c:pt>
                <c:pt idx="16">
                  <c:v>718.3762683389001</c:v>
                </c:pt>
                <c:pt idx="17">
                  <c:v>788.8588108560001</c:v>
                </c:pt>
                <c:pt idx="18">
                  <c:v>811.070431246</c:v>
                </c:pt>
                <c:pt idx="19">
                  <c:v>836.81647299900021</c:v>
                </c:pt>
                <c:pt idx="20">
                  <c:v>854.00533886200003</c:v>
                </c:pt>
                <c:pt idx="21">
                  <c:v>911.45057526100027</c:v>
                </c:pt>
              </c:numCache>
            </c:numRef>
          </c:val>
          <c:extLst>
            <c:ext xmlns:c16="http://schemas.microsoft.com/office/drawing/2014/chart" uri="{C3380CC4-5D6E-409C-BE32-E72D297353CC}">
              <c16:uniqueId val="{00000005-F470-45ED-A289-81469EE07915}"/>
            </c:ext>
          </c:extLst>
        </c:ser>
        <c:dLbls>
          <c:showLegendKey val="0"/>
          <c:showVal val="0"/>
          <c:showCatName val="0"/>
          <c:showSerName val="0"/>
          <c:showPercent val="0"/>
          <c:showBubbleSize val="0"/>
        </c:dLbls>
        <c:gapWidth val="150"/>
        <c:overlap val="100"/>
        <c:axId val="795307992"/>
        <c:axId val="795308320"/>
      </c:barChart>
      <c:lineChart>
        <c:grouping val="standard"/>
        <c:varyColors val="0"/>
        <c:ser>
          <c:idx val="4"/>
          <c:order val="4"/>
          <c:tx>
            <c:strRef>
              <c:f>Sheet1!$G$1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Sheet1!$B$2:$B$82</c:f>
              <c:strCache>
                <c:ptCount val="22"/>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strCache>
            </c:strRef>
          </c:cat>
          <c:val>
            <c:numRef>
              <c:f>Sheet1!$G$2:$G$82</c:f>
              <c:numCache>
                <c:formatCode>0.0</c:formatCode>
                <c:ptCount val="22"/>
                <c:pt idx="0">
                  <c:v>49.360514110896666</c:v>
                </c:pt>
                <c:pt idx="1">
                  <c:v>46.436641172828367</c:v>
                </c:pt>
                <c:pt idx="2">
                  <c:v>45.230440273230847</c:v>
                </c:pt>
                <c:pt idx="3">
                  <c:v>43.773631182802802</c:v>
                </c:pt>
                <c:pt idx="4">
                  <c:v>44.228337680079136</c:v>
                </c:pt>
                <c:pt idx="5">
                  <c:v>38.958793125140616</c:v>
                </c:pt>
                <c:pt idx="6">
                  <c:v>36.988487672147144</c:v>
                </c:pt>
                <c:pt idx="7">
                  <c:v>35.590459031217357</c:v>
                </c:pt>
                <c:pt idx="8">
                  <c:v>35.416563649843262</c:v>
                </c:pt>
                <c:pt idx="9">
                  <c:v>34.174308617877578</c:v>
                </c:pt>
                <c:pt idx="10">
                  <c:v>34.219620758329327</c:v>
                </c:pt>
                <c:pt idx="11">
                  <c:v>34.219620758329327</c:v>
                </c:pt>
                <c:pt idx="12">
                  <c:v>32.579081205192594</c:v>
                </c:pt>
                <c:pt idx="13">
                  <c:v>31.94218177826264</c:v>
                </c:pt>
                <c:pt idx="14">
                  <c:v>32.241036612425084</c:v>
                </c:pt>
                <c:pt idx="15">
                  <c:v>31.565361400000004</c:v>
                </c:pt>
                <c:pt idx="16">
                  <c:v>31.529695382646551</c:v>
                </c:pt>
                <c:pt idx="17">
                  <c:v>32.159270628343009</c:v>
                </c:pt>
                <c:pt idx="18">
                  <c:v>32.31583596014778</c:v>
                </c:pt>
                <c:pt idx="19">
                  <c:v>32.416978030623774</c:v>
                </c:pt>
                <c:pt idx="20">
                  <c:v>32.172862490675897</c:v>
                </c:pt>
                <c:pt idx="21">
                  <c:v>32.578222611585026</c:v>
                </c:pt>
              </c:numCache>
            </c:numRef>
          </c:val>
          <c:smooth val="0"/>
          <c:extLst>
            <c:ext xmlns:c16="http://schemas.microsoft.com/office/drawing/2014/chart" uri="{C3380CC4-5D6E-409C-BE32-E72D297353CC}">
              <c16:uniqueId val="{00000006-F470-45ED-A289-81469EE07915}"/>
            </c:ext>
          </c:extLst>
        </c:ser>
        <c:dLbls>
          <c:showLegendKey val="0"/>
          <c:showVal val="0"/>
          <c:showCatName val="0"/>
          <c:showSerName val="0"/>
          <c:showPercent val="0"/>
          <c:showBubbleSize val="0"/>
        </c:dLbls>
        <c:marker val="1"/>
        <c:smooth val="0"/>
        <c:axId val="791721512"/>
        <c:axId val="791712984"/>
      </c:lineChart>
      <c:catAx>
        <c:axId val="795307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8320"/>
        <c:crosses val="autoZero"/>
        <c:auto val="1"/>
        <c:lblAlgn val="ctr"/>
        <c:lblOffset val="100"/>
        <c:noMultiLvlLbl val="0"/>
      </c:catAx>
      <c:valAx>
        <c:axId val="795308320"/>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7992"/>
        <c:crosses val="autoZero"/>
        <c:crossBetween val="between"/>
        <c:majorUnit val="2000"/>
        <c:minorUnit val="200"/>
      </c:valAx>
      <c:valAx>
        <c:axId val="79171298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721512"/>
        <c:crosses val="max"/>
        <c:crossBetween val="between"/>
      </c:valAx>
      <c:catAx>
        <c:axId val="791721512"/>
        <c:scaling>
          <c:orientation val="minMax"/>
        </c:scaling>
        <c:delete val="1"/>
        <c:axPos val="b"/>
        <c:numFmt formatCode="General" sourceLinked="1"/>
        <c:majorTickMark val="out"/>
        <c:minorTickMark val="none"/>
        <c:tickLblPos val="nextTo"/>
        <c:crossAx val="791712984"/>
        <c:crosses val="autoZero"/>
        <c:auto val="1"/>
        <c:lblAlgn val="ctr"/>
        <c:lblOffset val="100"/>
        <c:noMultiLvlLbl val="0"/>
      </c:catAx>
      <c:spPr>
        <a:noFill/>
        <a:ln>
          <a:noFill/>
        </a:ln>
        <a:effectLst/>
      </c:spPr>
    </c:plotArea>
    <c:legend>
      <c:legendPos val="b"/>
      <c:legendEntry>
        <c:idx val="0"/>
        <c:delete val="1"/>
      </c:legendEntry>
      <c:legendEntry>
        <c:idx val="1"/>
        <c:delete val="1"/>
      </c:legendEntry>
      <c:layout>
        <c:manualLayout>
          <c:xMode val="edge"/>
          <c:yMode val="edge"/>
          <c:x val="1.3821309719462644E-2"/>
          <c:y val="0.7456995110414536"/>
          <c:w val="0.98481843975110583"/>
          <c:h val="0.2543004889585465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aseline="0">
                <a:solidFill>
                  <a:schemeClr val="tx1">
                    <a:lumMod val="65000"/>
                    <a:lumOff val="35000"/>
                  </a:schemeClr>
                </a:solidFill>
              </a:rPr>
              <a:t>Բանկերի ավանդային պորտֆելը,</a:t>
            </a:r>
            <a:r>
              <a:rPr lang="hy-AM" sz="1000" b="0" i="0" u="none" strike="noStrike" kern="1200" spc="0" baseline="0">
                <a:solidFill>
                  <a:schemeClr val="tx1">
                    <a:lumMod val="65000"/>
                    <a:lumOff val="35000"/>
                  </a:schemeClr>
                </a:solidFill>
                <a:latin typeface="GHEA Grapalat" panose="02000506050000020003" pitchFamily="50" charset="0"/>
                <a:ea typeface="+mn-ea"/>
                <a:cs typeface="+mn-cs"/>
              </a:rPr>
              <a:t> </a:t>
            </a:r>
            <a:r>
              <a:rPr lang="hy-AM" sz="1000" baseline="0">
                <a:solidFill>
                  <a:schemeClr val="tx1">
                    <a:lumMod val="65000"/>
                    <a:lumOff val="35000"/>
                  </a:schemeClr>
                </a:solidFill>
              </a:rPr>
              <a:t>մլրդ ՀՀ դրամ</a:t>
            </a:r>
            <a:endParaRPr lang="en-US" sz="1000" baseline="0">
              <a:solidFill>
                <a:schemeClr val="tx1">
                  <a:lumMod val="65000"/>
                  <a:lumOff val="35000"/>
                </a:schemeClr>
              </a:solidFill>
            </a:endParaRPr>
          </a:p>
        </c:rich>
      </c:tx>
      <c:layout>
        <c:manualLayout>
          <c:xMode val="edge"/>
          <c:yMode val="edge"/>
          <c:x val="0.14877753917123998"/>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69178058936281"/>
          <c:y val="0.16673603299587553"/>
          <c:w val="0.77961336761560229"/>
          <c:h val="0.43750659296312633"/>
        </c:manualLayout>
      </c:layout>
      <c:barChart>
        <c:barDir val="col"/>
        <c:grouping val="stacked"/>
        <c:varyColors val="0"/>
        <c:ser>
          <c:idx val="0"/>
          <c:order val="0"/>
          <c:tx>
            <c:strRef>
              <c:f>Sheet1!$C$1</c:f>
              <c:strCache>
                <c:ptCount val="1"/>
                <c:pt idx="0">
                  <c:v>Ռեզիդենտների ավանդներ</c:v>
                </c:pt>
              </c:strCache>
            </c:strRef>
          </c:tx>
          <c:spPr>
            <a:solidFill>
              <a:srgbClr val="4F81BD">
                <a:lumMod val="50000"/>
              </a:srgbClr>
            </a:solidFill>
            <a:ln>
              <a:noFill/>
            </a:ln>
            <a:effectLst/>
          </c:spPr>
          <c:invertIfNegative val="0"/>
          <c:cat>
            <c:multiLvlStrRef>
              <c:f>Sheet1!$A$16:$B$82</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Sheet1!$C$2:$C$82</c:f>
              <c:numCache>
                <c:formatCode>0.0</c:formatCode>
                <c:ptCount val="22"/>
                <c:pt idx="0">
                  <c:v>2793.6608505633803</c:v>
                </c:pt>
                <c:pt idx="1">
                  <c:v>2836.3239767365799</c:v>
                </c:pt>
                <c:pt idx="2">
                  <c:v>2969.7320835893697</c:v>
                </c:pt>
                <c:pt idx="3">
                  <c:v>3144.9699810905099</c:v>
                </c:pt>
                <c:pt idx="4">
                  <c:v>3157.9293703593098</c:v>
                </c:pt>
                <c:pt idx="5">
                  <c:v>3127.58012159178</c:v>
                </c:pt>
                <c:pt idx="6">
                  <c:v>3359.6420501932998</c:v>
                </c:pt>
                <c:pt idx="7">
                  <c:v>3694.09499741116</c:v>
                </c:pt>
                <c:pt idx="8">
                  <c:v>3815.1625054040496</c:v>
                </c:pt>
                <c:pt idx="9">
                  <c:v>3876.1891963166695</c:v>
                </c:pt>
                <c:pt idx="10">
                  <c:v>4094.7344285735303</c:v>
                </c:pt>
                <c:pt idx="11">
                  <c:v>4320.2793153550701</c:v>
                </c:pt>
                <c:pt idx="12">
                  <c:v>4271.2043916183702</c:v>
                </c:pt>
                <c:pt idx="13">
                  <c:v>4420.1968430000006</c:v>
                </c:pt>
                <c:pt idx="14">
                  <c:v>4598.2749547844905</c:v>
                </c:pt>
                <c:pt idx="15">
                  <c:v>4970.471082</c:v>
                </c:pt>
                <c:pt idx="16">
                  <c:v>4984.221082</c:v>
                </c:pt>
                <c:pt idx="17">
                  <c:v>5158.5768586089989</c:v>
                </c:pt>
                <c:pt idx="18">
                  <c:v>5356.4512066399993</c:v>
                </c:pt>
                <c:pt idx="19">
                  <c:v>5875.9329934400002</c:v>
                </c:pt>
                <c:pt idx="20">
                  <c:v>5973.3230375679996</c:v>
                </c:pt>
                <c:pt idx="21">
                  <c:v>6412.3400110830007</c:v>
                </c:pt>
              </c:numCache>
            </c:numRef>
          </c:val>
          <c:extLst>
            <c:ext xmlns:c16="http://schemas.microsoft.com/office/drawing/2014/chart" uri="{C3380CC4-5D6E-409C-BE32-E72D297353CC}">
              <c16:uniqueId val="{00000000-6A9A-4CA4-A0FD-8742CA9ED564}"/>
            </c:ext>
          </c:extLst>
        </c:ser>
        <c:ser>
          <c:idx val="1"/>
          <c:order val="1"/>
          <c:tx>
            <c:strRef>
              <c:f>Sheet1!$D$1</c:f>
              <c:strCache>
                <c:ptCount val="1"/>
                <c:pt idx="0">
                  <c:v>Ոչ ռեզիդենտների ավանդներ</c:v>
                </c:pt>
              </c:strCache>
            </c:strRef>
          </c:tx>
          <c:spPr>
            <a:solidFill>
              <a:srgbClr val="F79646">
                <a:lumMod val="60000"/>
                <a:lumOff val="40000"/>
              </a:srgbClr>
            </a:solidFill>
            <a:ln>
              <a:noFill/>
            </a:ln>
            <a:effectLst/>
          </c:spPr>
          <c:invertIfNegative val="0"/>
          <c:cat>
            <c:multiLvlStrRef>
              <c:f>Sheet1!$A$16:$B$82</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Sheet1!$D$2:$D$82</c:f>
              <c:numCache>
                <c:formatCode>0.0</c:formatCode>
                <c:ptCount val="22"/>
                <c:pt idx="0">
                  <c:v>908.42658679641988</c:v>
                </c:pt>
                <c:pt idx="1">
                  <c:v>933.42867996081998</c:v>
                </c:pt>
                <c:pt idx="2">
                  <c:v>884.54700956330009</c:v>
                </c:pt>
                <c:pt idx="3">
                  <c:v>879.64579740889997</c:v>
                </c:pt>
                <c:pt idx="4">
                  <c:v>825.37567642600982</c:v>
                </c:pt>
                <c:pt idx="5">
                  <c:v>944.66289364885984</c:v>
                </c:pt>
                <c:pt idx="6">
                  <c:v>1121.91741065579</c:v>
                </c:pt>
                <c:pt idx="7">
                  <c:v>1428.48444855512</c:v>
                </c:pt>
                <c:pt idx="8">
                  <c:v>1276.6676620578501</c:v>
                </c:pt>
                <c:pt idx="9">
                  <c:v>1307.3610793673802</c:v>
                </c:pt>
                <c:pt idx="10">
                  <c:v>1286.03932946751</c:v>
                </c:pt>
                <c:pt idx="11">
                  <c:v>1356.88661356395</c:v>
                </c:pt>
                <c:pt idx="12">
                  <c:v>1436.6219000351498</c:v>
                </c:pt>
                <c:pt idx="13">
                  <c:v>1378.2836000000002</c:v>
                </c:pt>
                <c:pt idx="14">
                  <c:v>1361.9181585231499</c:v>
                </c:pt>
                <c:pt idx="15">
                  <c:v>1493.487216</c:v>
                </c:pt>
                <c:pt idx="16">
                  <c:v>1515.5757760000001</c:v>
                </c:pt>
                <c:pt idx="17">
                  <c:v>1534.745934347</c:v>
                </c:pt>
                <c:pt idx="18">
                  <c:v>1563.5263797389998</c:v>
                </c:pt>
                <c:pt idx="19">
                  <c:v>1581.8578270279997</c:v>
                </c:pt>
                <c:pt idx="20">
                  <c:v>1607.8395986800001</c:v>
                </c:pt>
                <c:pt idx="21">
                  <c:v>1658.3753708080003</c:v>
                </c:pt>
              </c:numCache>
            </c:numRef>
          </c:val>
          <c:extLst>
            <c:ext xmlns:c16="http://schemas.microsoft.com/office/drawing/2014/chart" uri="{C3380CC4-5D6E-409C-BE32-E72D297353CC}">
              <c16:uniqueId val="{00000001-6A9A-4CA4-A0FD-8742CA9ED564}"/>
            </c:ext>
          </c:extLst>
        </c:ser>
        <c:dLbls>
          <c:showLegendKey val="0"/>
          <c:showVal val="0"/>
          <c:showCatName val="0"/>
          <c:showSerName val="0"/>
          <c:showPercent val="0"/>
          <c:showBubbleSize val="0"/>
        </c:dLbls>
        <c:gapWidth val="150"/>
        <c:overlap val="100"/>
        <c:axId val="1076518064"/>
        <c:axId val="1076521016"/>
      </c:barChart>
      <c:lineChart>
        <c:grouping val="standard"/>
        <c:varyColors val="0"/>
        <c:ser>
          <c:idx val="2"/>
          <c:order val="2"/>
          <c:tx>
            <c:strRef>
              <c:f>Sheet1!$E$1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Sheet1!$B$2:$B$82</c:f>
              <c:strCache>
                <c:ptCount val="22"/>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strCache>
            </c:strRef>
          </c:cat>
          <c:val>
            <c:numRef>
              <c:f>Sheet1!$E$2:$E$82</c:f>
              <c:numCache>
                <c:formatCode>0.0</c:formatCode>
                <c:ptCount val="22"/>
                <c:pt idx="0">
                  <c:v>53.22193901071163</c:v>
                </c:pt>
                <c:pt idx="1">
                  <c:v>52.148366016875549</c:v>
                </c:pt>
                <c:pt idx="2">
                  <c:v>51.044929965929676</c:v>
                </c:pt>
                <c:pt idx="3">
                  <c:v>50.002711393128706</c:v>
                </c:pt>
                <c:pt idx="4">
                  <c:v>50.387948204205976</c:v>
                </c:pt>
                <c:pt idx="5">
                  <c:v>50.383284880867492</c:v>
                </c:pt>
                <c:pt idx="6">
                  <c:v>53.173295648147914</c:v>
                </c:pt>
                <c:pt idx="7">
                  <c:v>55.144855057658283</c:v>
                </c:pt>
                <c:pt idx="8">
                  <c:v>53.570558762946419</c:v>
                </c:pt>
                <c:pt idx="9">
                  <c:v>51.683860715465279</c:v>
                </c:pt>
                <c:pt idx="10">
                  <c:v>51.092059603808224</c:v>
                </c:pt>
                <c:pt idx="11">
                  <c:v>50.503680746709556</c:v>
                </c:pt>
                <c:pt idx="12">
                  <c:v>50.649702322225679</c:v>
                </c:pt>
                <c:pt idx="13">
                  <c:v>49.819260707990281</c:v>
                </c:pt>
                <c:pt idx="14">
                  <c:v>48.380065777790406</c:v>
                </c:pt>
                <c:pt idx="15">
                  <c:v>46.633565828119139</c:v>
                </c:pt>
                <c:pt idx="16">
                  <c:v>47.500428343386851</c:v>
                </c:pt>
                <c:pt idx="17">
                  <c:v>46.301474881855029</c:v>
                </c:pt>
                <c:pt idx="18">
                  <c:v>45.187627849228981</c:v>
                </c:pt>
                <c:pt idx="19">
                  <c:v>43.941566228849432</c:v>
                </c:pt>
                <c:pt idx="20">
                  <c:v>43.375530867234502</c:v>
                </c:pt>
                <c:pt idx="21">
                  <c:v>42.284561003753289</c:v>
                </c:pt>
              </c:numCache>
            </c:numRef>
          </c:val>
          <c:smooth val="0"/>
          <c:extLst>
            <c:ext xmlns:c16="http://schemas.microsoft.com/office/drawing/2014/chart" uri="{C3380CC4-5D6E-409C-BE32-E72D297353CC}">
              <c16:uniqueId val="{00000002-6A9A-4CA4-A0FD-8742CA9ED564}"/>
            </c:ext>
          </c:extLst>
        </c:ser>
        <c:dLbls>
          <c:showLegendKey val="0"/>
          <c:showVal val="0"/>
          <c:showCatName val="0"/>
          <c:showSerName val="0"/>
          <c:showPercent val="0"/>
          <c:showBubbleSize val="0"/>
        </c:dLbls>
        <c:marker val="1"/>
        <c:smooth val="0"/>
        <c:axId val="1076425896"/>
        <c:axId val="1076425240"/>
      </c:lineChart>
      <c:catAx>
        <c:axId val="107651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21016"/>
        <c:crosses val="autoZero"/>
        <c:auto val="1"/>
        <c:lblAlgn val="ctr"/>
        <c:lblOffset val="100"/>
        <c:noMultiLvlLbl val="0"/>
      </c:catAx>
      <c:valAx>
        <c:axId val="1076521016"/>
        <c:scaling>
          <c:orientation val="minMax"/>
          <c:max val="8000"/>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18064"/>
        <c:crosses val="autoZero"/>
        <c:crossBetween val="between"/>
      </c:valAx>
      <c:valAx>
        <c:axId val="1076425240"/>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425896"/>
        <c:crosses val="max"/>
        <c:crossBetween val="between"/>
      </c:valAx>
      <c:catAx>
        <c:axId val="1076425896"/>
        <c:scaling>
          <c:orientation val="minMax"/>
        </c:scaling>
        <c:delete val="1"/>
        <c:axPos val="b"/>
        <c:numFmt formatCode="General" sourceLinked="1"/>
        <c:majorTickMark val="out"/>
        <c:minorTickMark val="none"/>
        <c:tickLblPos val="nextTo"/>
        <c:crossAx val="1076425240"/>
        <c:crosses val="autoZero"/>
        <c:auto val="1"/>
        <c:lblAlgn val="ctr"/>
        <c:lblOffset val="100"/>
        <c:noMultiLvlLbl val="0"/>
      </c:catAx>
      <c:spPr>
        <a:noFill/>
        <a:ln>
          <a:noFill/>
        </a:ln>
        <a:effectLst/>
      </c:spPr>
    </c:plotArea>
    <c:legend>
      <c:legendPos val="b"/>
      <c:layout>
        <c:manualLayout>
          <c:xMode val="edge"/>
          <c:yMode val="edge"/>
          <c:x val="0"/>
          <c:y val="0.78030746156730413"/>
          <c:w val="0.98709106816193426"/>
          <c:h val="0.219692538432695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ծավալները, մլրդ դրամ</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52201545171415"/>
          <c:y val="0.14718253968253969"/>
          <c:w val="0.76804371915290282"/>
          <c:h val="0.53903230846144234"/>
        </c:manualLayout>
      </c:layout>
      <c:barChart>
        <c:barDir val="col"/>
        <c:grouping val="clustered"/>
        <c:varyColors val="0"/>
        <c:ser>
          <c:idx val="0"/>
          <c:order val="0"/>
          <c:tx>
            <c:strRef>
              <c:f>Sheet1!$B$1</c:f>
              <c:strCache>
                <c:ptCount val="1"/>
                <c:pt idx="0">
                  <c:v>Տեղաբաշխման ենթակա ծավալ</c:v>
                </c:pt>
              </c:strCache>
            </c:strRef>
          </c:tx>
          <c:spPr>
            <a:solidFill>
              <a:schemeClr val="accent1"/>
            </a:solidFill>
            <a:ln>
              <a:noFill/>
            </a:ln>
            <a:effectLst/>
          </c:spPr>
          <c:invertIfNegative val="0"/>
          <c:cat>
            <c:strRef>
              <c:f>Sheet1!$A$4:$A$14</c:f>
              <c:strCache>
                <c:ptCount val="8"/>
                <c:pt idx="0">
                  <c:v>2021</c:v>
                </c:pt>
                <c:pt idx="1">
                  <c:v>2022</c:v>
                </c:pt>
                <c:pt idx="2">
                  <c:v>2023</c:v>
                </c:pt>
                <c:pt idx="3">
                  <c:v>2024</c:v>
                </c:pt>
                <c:pt idx="4">
                  <c:v>2025</c:v>
                </c:pt>
                <c:pt idx="6">
                  <c:v>2025 II</c:v>
                </c:pt>
                <c:pt idx="7">
                  <c:v>2026 II</c:v>
                </c:pt>
              </c:strCache>
            </c:strRef>
          </c:cat>
          <c:val>
            <c:numRef>
              <c:f>Sheet1!$B$2:$B$7</c:f>
            </c:numRef>
          </c:val>
          <c:extLst>
            <c:ext xmlns:c16="http://schemas.microsoft.com/office/drawing/2014/chart" uri="{C3380CC4-5D6E-409C-BE32-E72D297353CC}">
              <c16:uniqueId val="{00000000-2BEA-439F-9895-63622BF9FDED}"/>
            </c:ext>
          </c:extLst>
        </c:ser>
        <c:ser>
          <c:idx val="1"/>
          <c:order val="1"/>
          <c:tx>
            <c:strRef>
              <c:f>Sheet1!$C$1</c:f>
              <c:strCache>
                <c:ptCount val="1"/>
                <c:pt idx="0">
                  <c:v>Տեղաբաշխված ծավալ</c:v>
                </c:pt>
              </c:strCache>
            </c:strRef>
          </c:tx>
          <c:spPr>
            <a:solidFill>
              <a:srgbClr val="F79646">
                <a:lumMod val="60000"/>
                <a:lumOff val="40000"/>
              </a:srgbClr>
            </a:solidFill>
            <a:ln>
              <a:noFill/>
            </a:ln>
            <a:effectLst/>
          </c:spPr>
          <c:invertIfNegative val="0"/>
          <c:cat>
            <c:strRef>
              <c:f>Sheet1!$A$4:$A$14</c:f>
              <c:strCache>
                <c:ptCount val="8"/>
                <c:pt idx="0">
                  <c:v>2021</c:v>
                </c:pt>
                <c:pt idx="1">
                  <c:v>2022</c:v>
                </c:pt>
                <c:pt idx="2">
                  <c:v>2023</c:v>
                </c:pt>
                <c:pt idx="3">
                  <c:v>2024</c:v>
                </c:pt>
                <c:pt idx="4">
                  <c:v>2025</c:v>
                </c:pt>
                <c:pt idx="6">
                  <c:v>2025 II</c:v>
                </c:pt>
                <c:pt idx="7">
                  <c:v>2026 II</c:v>
                </c:pt>
              </c:strCache>
            </c:strRef>
          </c:cat>
          <c:val>
            <c:numRef>
              <c:f>Sheet1!$C$2:$C$14</c:f>
              <c:numCache>
                <c:formatCode>0.0</c:formatCode>
                <c:ptCount val="8"/>
                <c:pt idx="0">
                  <c:v>394.31375400000002</c:v>
                </c:pt>
                <c:pt idx="1">
                  <c:v>435.92769399999997</c:v>
                </c:pt>
                <c:pt idx="2">
                  <c:v>619.84177499999998</c:v>
                </c:pt>
                <c:pt idx="3">
                  <c:v>656.33290999999997</c:v>
                </c:pt>
                <c:pt idx="4">
                  <c:v>691.33074999999997</c:v>
                </c:pt>
                <c:pt idx="6">
                  <c:v>384.738609</c:v>
                </c:pt>
                <c:pt idx="7">
                  <c:v>338.32530200000002</c:v>
                </c:pt>
              </c:numCache>
            </c:numRef>
          </c:val>
          <c:extLst>
            <c:ext xmlns:c16="http://schemas.microsoft.com/office/drawing/2014/chart" uri="{C3380CC4-5D6E-409C-BE32-E72D297353CC}">
              <c16:uniqueId val="{00000001-2BEA-439F-9895-63622BF9FDED}"/>
            </c:ext>
          </c:extLst>
        </c:ser>
        <c:ser>
          <c:idx val="2"/>
          <c:order val="2"/>
          <c:tx>
            <c:strRef>
              <c:f>Sheet1!$D$1</c:f>
              <c:strCache>
                <c:ptCount val="1"/>
                <c:pt idx="0">
                  <c:v>Պահանջարկ</c:v>
                </c:pt>
              </c:strCache>
            </c:strRef>
          </c:tx>
          <c:spPr>
            <a:solidFill>
              <a:srgbClr val="4F81BD">
                <a:lumMod val="75000"/>
              </a:srgbClr>
            </a:solidFill>
            <a:ln>
              <a:noFill/>
            </a:ln>
            <a:effectLst/>
          </c:spPr>
          <c:invertIfNegative val="0"/>
          <c:cat>
            <c:strRef>
              <c:f>Sheet1!$A$4:$A$14</c:f>
              <c:strCache>
                <c:ptCount val="8"/>
                <c:pt idx="0">
                  <c:v>2021</c:v>
                </c:pt>
                <c:pt idx="1">
                  <c:v>2022</c:v>
                </c:pt>
                <c:pt idx="2">
                  <c:v>2023</c:v>
                </c:pt>
                <c:pt idx="3">
                  <c:v>2024</c:v>
                </c:pt>
                <c:pt idx="4">
                  <c:v>2025</c:v>
                </c:pt>
                <c:pt idx="6">
                  <c:v>2025 II</c:v>
                </c:pt>
                <c:pt idx="7">
                  <c:v>2026 II</c:v>
                </c:pt>
              </c:strCache>
            </c:strRef>
          </c:cat>
          <c:val>
            <c:numRef>
              <c:f>Sheet1!$D$2:$D$14</c:f>
              <c:numCache>
                <c:formatCode>0.0</c:formatCode>
                <c:ptCount val="8"/>
                <c:pt idx="0">
                  <c:v>751.11215400000003</c:v>
                </c:pt>
                <c:pt idx="1">
                  <c:v>882.73538799999994</c:v>
                </c:pt>
                <c:pt idx="2">
                  <c:v>1302.8866459999999</c:v>
                </c:pt>
                <c:pt idx="3">
                  <c:v>1145.4772760000001</c:v>
                </c:pt>
                <c:pt idx="4">
                  <c:v>1507.7134289999999</c:v>
                </c:pt>
                <c:pt idx="6">
                  <c:v>777.69401600000003</c:v>
                </c:pt>
                <c:pt idx="7">
                  <c:v>935.90672300000006</c:v>
                </c:pt>
              </c:numCache>
            </c:numRef>
          </c:val>
          <c:extLst>
            <c:ext xmlns:c16="http://schemas.microsoft.com/office/drawing/2014/chart" uri="{C3380CC4-5D6E-409C-BE32-E72D297353CC}">
              <c16:uniqueId val="{00000002-2BEA-439F-9895-63622BF9FDED}"/>
            </c:ext>
          </c:extLst>
        </c:ser>
        <c:dLbls>
          <c:showLegendKey val="0"/>
          <c:showVal val="0"/>
          <c:showCatName val="0"/>
          <c:showSerName val="0"/>
          <c:showPercent val="0"/>
          <c:showBubbleSize val="0"/>
        </c:dLbls>
        <c:gapWidth val="219"/>
        <c:overlap val="-27"/>
        <c:axId val="1045060968"/>
        <c:axId val="1045061296"/>
      </c:barChart>
      <c:lineChart>
        <c:grouping val="standard"/>
        <c:varyColors val="0"/>
        <c:ser>
          <c:idx val="3"/>
          <c:order val="3"/>
          <c:tx>
            <c:strRef>
              <c:f>Sheet1!$E$1</c:f>
              <c:strCache>
                <c:ptCount val="1"/>
                <c:pt idx="0">
                  <c:v>Պահանջարկ/տեղաբաշխված ծավալ (%, աջ առանցք) </c:v>
                </c:pt>
              </c:strCache>
            </c:strRef>
          </c:tx>
          <c:spPr>
            <a:ln w="28575" cap="rnd">
              <a:solidFill>
                <a:schemeClr val="accent4"/>
              </a:solidFill>
              <a:round/>
            </a:ln>
            <a:effectLst/>
          </c:spPr>
          <c:marker>
            <c:symbol val="none"/>
          </c:marker>
          <c:cat>
            <c:strRef>
              <c:f>Sheet1!$A$2:$A$14</c:f>
              <c:strCache>
                <c:ptCount val="8"/>
                <c:pt idx="0">
                  <c:v>2021</c:v>
                </c:pt>
                <c:pt idx="1">
                  <c:v>2022</c:v>
                </c:pt>
                <c:pt idx="2">
                  <c:v>2023</c:v>
                </c:pt>
                <c:pt idx="3">
                  <c:v>2024</c:v>
                </c:pt>
                <c:pt idx="4">
                  <c:v>2025</c:v>
                </c:pt>
                <c:pt idx="6">
                  <c:v>2025 II</c:v>
                </c:pt>
                <c:pt idx="7">
                  <c:v>2026 II</c:v>
                </c:pt>
              </c:strCache>
            </c:strRef>
          </c:cat>
          <c:val>
            <c:numRef>
              <c:f>Sheet1!$E$2:$E$14</c:f>
              <c:numCache>
                <c:formatCode>0.0</c:formatCode>
                <c:ptCount val="8"/>
                <c:pt idx="0">
                  <c:v>1.9048591290072017</c:v>
                </c:pt>
                <c:pt idx="1">
                  <c:v>2.0249582675057116</c:v>
                </c:pt>
                <c:pt idx="2">
                  <c:v>2.1019664994344724</c:v>
                </c:pt>
                <c:pt idx="3">
                  <c:v>1.7452686868924494</c:v>
                </c:pt>
                <c:pt idx="4">
                  <c:v>2.180885819124927</c:v>
                </c:pt>
                <c:pt idx="6">
                  <c:v>2.0213568324254143</c:v>
                </c:pt>
                <c:pt idx="7">
                  <c:v>2.7662924335466936</c:v>
                </c:pt>
              </c:numCache>
            </c:numRef>
          </c:val>
          <c:smooth val="0"/>
          <c:extLst>
            <c:ext xmlns:c16="http://schemas.microsoft.com/office/drawing/2014/chart" uri="{C3380CC4-5D6E-409C-BE32-E72D297353CC}">
              <c16:uniqueId val="{00000003-2BEA-439F-9895-63622BF9FDED}"/>
            </c:ext>
          </c:extLst>
        </c:ser>
        <c:dLbls>
          <c:showLegendKey val="0"/>
          <c:showVal val="0"/>
          <c:showCatName val="0"/>
          <c:showSerName val="0"/>
          <c:showPercent val="0"/>
          <c:showBubbleSize val="0"/>
        </c:dLbls>
        <c:marker val="1"/>
        <c:smooth val="0"/>
        <c:axId val="1045117712"/>
        <c:axId val="1045118040"/>
      </c:lineChart>
      <c:catAx>
        <c:axId val="1045060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1296"/>
        <c:crosses val="autoZero"/>
        <c:auto val="1"/>
        <c:lblAlgn val="ctr"/>
        <c:lblOffset val="100"/>
        <c:noMultiLvlLbl val="0"/>
      </c:catAx>
      <c:valAx>
        <c:axId val="1045061296"/>
        <c:scaling>
          <c:orientation val="minMax"/>
          <c:max val="151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0968"/>
        <c:crosses val="autoZero"/>
        <c:crossBetween val="between"/>
      </c:valAx>
      <c:valAx>
        <c:axId val="1045118040"/>
        <c:scaling>
          <c:orientation val="minMax"/>
          <c:min val="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117712"/>
        <c:crosses val="max"/>
        <c:crossBetween val="between"/>
      </c:valAx>
      <c:catAx>
        <c:axId val="1045117712"/>
        <c:scaling>
          <c:orientation val="minMax"/>
        </c:scaling>
        <c:delete val="1"/>
        <c:axPos val="b"/>
        <c:numFmt formatCode="General" sourceLinked="1"/>
        <c:majorTickMark val="out"/>
        <c:minorTickMark val="none"/>
        <c:tickLblPos val="nextTo"/>
        <c:crossAx val="1045118040"/>
        <c:crosses val="autoZero"/>
        <c:auto val="1"/>
        <c:lblAlgn val="ctr"/>
        <c:lblOffset val="100"/>
        <c:noMultiLvlLbl val="0"/>
      </c:catAx>
      <c:spPr>
        <a:noFill/>
        <a:ln>
          <a:noFill/>
        </a:ln>
        <a:effectLst/>
      </c:spPr>
    </c:plotArea>
    <c:legend>
      <c:legendPos val="b"/>
      <c:layout>
        <c:manualLayout>
          <c:xMode val="edge"/>
          <c:yMode val="edge"/>
          <c:x val="0"/>
          <c:y val="0.79811273590801168"/>
          <c:w val="1"/>
          <c:h val="0.191995688038995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եկա</a:t>
            </a:r>
            <a:r>
              <a:rPr lang="hy-AM" sz="1000" baseline="0">
                <a:solidFill>
                  <a:schemeClr val="tx1">
                    <a:lumMod val="65000"/>
                    <a:lumOff val="35000"/>
                  </a:schemeClr>
                </a:solidFill>
              </a:rPr>
              <a:t>մտաբերություննե</a:t>
            </a:r>
            <a:r>
              <a:rPr lang="hy-AM" sz="1000"/>
              <a:t>րը, </a:t>
            </a:r>
            <a:r>
              <a:rPr lang="en-US" sz="1000"/>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areaChart>
        <c:grouping val="standard"/>
        <c:varyColors val="0"/>
        <c:ser>
          <c:idx val="3"/>
          <c:order val="3"/>
          <c:tx>
            <c:strRef>
              <c:f>Sheet1!$F$1</c:f>
              <c:strCache>
                <c:ptCount val="1"/>
                <c:pt idx="0">
                  <c:v>Column1</c:v>
                </c:pt>
              </c:strCache>
            </c:strRef>
          </c:tx>
          <c:spPr>
            <a:solidFill>
              <a:schemeClr val="accent4"/>
            </a:solidFill>
            <a:ln w="25400">
              <a:noFill/>
            </a:ln>
            <a:effectLst/>
          </c:spPr>
          <c:cat>
            <c:strRef>
              <c:f>Sheet1!$B$2:$B$43</c:f>
              <c:strCache>
                <c:ptCount val="22"/>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strCache>
            </c:strRef>
          </c:cat>
          <c:val>
            <c:numRef>
              <c:f>Sheet1!$F$2:$F$43</c:f>
            </c:numRef>
          </c:val>
          <c:extLst>
            <c:ext xmlns:c16="http://schemas.microsoft.com/office/drawing/2014/chart" uri="{C3380CC4-5D6E-409C-BE32-E72D297353CC}">
              <c16:uniqueId val="{00000000-EFDD-4565-9D57-07B6CAF03317}"/>
            </c:ext>
          </c:extLst>
        </c:ser>
        <c:dLbls>
          <c:showLegendKey val="0"/>
          <c:showVal val="0"/>
          <c:showCatName val="0"/>
          <c:showSerName val="0"/>
          <c:showPercent val="0"/>
          <c:showBubbleSize val="0"/>
        </c:dLbls>
        <c:axId val="1045019312"/>
        <c:axId val="1045012424"/>
      </c:areaChart>
      <c:lineChart>
        <c:grouping val="standard"/>
        <c:varyColors val="0"/>
        <c:ser>
          <c:idx val="0"/>
          <c:order val="0"/>
          <c:tx>
            <c:strRef>
              <c:f>Sheet1!$C$1</c:f>
              <c:strCache>
                <c:ptCount val="1"/>
                <c:pt idx="0">
                  <c:v>Կարճաժամկետ ՊՊ</c:v>
                </c:pt>
              </c:strCache>
            </c:strRef>
          </c:tx>
          <c:spPr>
            <a:ln w="28575" cap="rnd">
              <a:noFill/>
              <a:round/>
            </a:ln>
            <a:effectLst/>
          </c:spPr>
          <c:marker>
            <c:symbol val="circle"/>
            <c:size val="5"/>
            <c:spPr>
              <a:solidFill>
                <a:srgbClr val="4F81BD">
                  <a:lumMod val="75000"/>
                </a:srgbClr>
              </a:solidFill>
              <a:ln w="9525">
                <a:noFill/>
              </a:ln>
              <a:effectLst/>
            </c:spPr>
          </c:marker>
          <c:cat>
            <c:multiLvlStrRef>
              <c:f>Sheet1!$A$14:$B$43</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Sheet1!$C$2:$C$43</c:f>
              <c:numCache>
                <c:formatCode>0.0</c:formatCode>
                <c:ptCount val="22"/>
                <c:pt idx="0">
                  <c:v>6.854926799557032</c:v>
                </c:pt>
                <c:pt idx="1">
                  <c:v>7.1024616710317856</c:v>
                </c:pt>
                <c:pt idx="2">
                  <c:v>8.1943352976190482</c:v>
                </c:pt>
                <c:pt idx="3">
                  <c:v>8.8495017574280173</c:v>
                </c:pt>
                <c:pt idx="4">
                  <c:v>9.3270733333333329</c:v>
                </c:pt>
                <c:pt idx="5">
                  <c:v>10.475233333333334</c:v>
                </c:pt>
                <c:pt idx="6">
                  <c:v>10.657266666666667</c:v>
                </c:pt>
                <c:pt idx="7">
                  <c:v>11.512319015843817</c:v>
                </c:pt>
                <c:pt idx="8">
                  <c:v>11.5479466989476</c:v>
                </c:pt>
                <c:pt idx="9">
                  <c:v>11.433027414054733</c:v>
                </c:pt>
                <c:pt idx="10">
                  <c:v>10.608063631255433</c:v>
                </c:pt>
                <c:pt idx="11">
                  <c:v>10.551300357902667</c:v>
                </c:pt>
                <c:pt idx="12">
                  <c:v>10.054928727912321</c:v>
                </c:pt>
                <c:pt idx="13">
                  <c:v>9.2783893392325592</c:v>
                </c:pt>
                <c:pt idx="14">
                  <c:v>8.9352686709551588</c:v>
                </c:pt>
                <c:pt idx="15">
                  <c:v>8.810314387740922</c:v>
                </c:pt>
                <c:pt idx="16">
                  <c:v>8.3760583702631379</c:v>
                </c:pt>
                <c:pt idx="17">
                  <c:v>8.0703152723108733</c:v>
                </c:pt>
                <c:pt idx="18">
                  <c:v>7.9941702365564531</c:v>
                </c:pt>
                <c:pt idx="19">
                  <c:v>7.6685029292008906</c:v>
                </c:pt>
                <c:pt idx="20">
                  <c:v>7.0139758620680004</c:v>
                </c:pt>
                <c:pt idx="21">
                  <c:v>6.9123911728074496</c:v>
                </c:pt>
              </c:numCache>
            </c:numRef>
          </c:val>
          <c:smooth val="0"/>
          <c:extLst>
            <c:ext xmlns:c16="http://schemas.microsoft.com/office/drawing/2014/chart" uri="{C3380CC4-5D6E-409C-BE32-E72D297353CC}">
              <c16:uniqueId val="{00000001-EFDD-4565-9D57-07B6CAF03317}"/>
            </c:ext>
          </c:extLst>
        </c:ser>
        <c:ser>
          <c:idx val="1"/>
          <c:order val="1"/>
          <c:tx>
            <c:strRef>
              <c:f>Sheet1!$D$1</c:f>
              <c:strCache>
                <c:ptCount val="1"/>
                <c:pt idx="0">
                  <c:v>Միջնաժամկետ ՊՊ</c:v>
                </c:pt>
              </c:strCache>
            </c:strRef>
          </c:tx>
          <c:spPr>
            <a:ln w="28575" cap="rnd">
              <a:noFill/>
              <a:round/>
            </a:ln>
            <a:effectLst/>
          </c:spPr>
          <c:marker>
            <c:symbol val="circle"/>
            <c:size val="5"/>
            <c:spPr>
              <a:solidFill>
                <a:srgbClr val="00B050"/>
              </a:solidFill>
              <a:ln w="9525">
                <a:solidFill>
                  <a:srgbClr val="9BBB59">
                    <a:lumMod val="75000"/>
                  </a:srgbClr>
                </a:solidFill>
              </a:ln>
              <a:effectLst/>
            </c:spPr>
          </c:marker>
          <c:cat>
            <c:multiLvlStrRef>
              <c:f>Sheet1!$A$14:$B$43</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Sheet1!$D$2:$D$43</c:f>
              <c:numCache>
                <c:formatCode>0.0</c:formatCode>
                <c:ptCount val="22"/>
                <c:pt idx="0">
                  <c:v>8.0319500000000001</c:v>
                </c:pt>
                <c:pt idx="1">
                  <c:v>8.543099999999999</c:v>
                </c:pt>
                <c:pt idx="2">
                  <c:v>9.4789999999999992</c:v>
                </c:pt>
                <c:pt idx="3">
                  <c:v>9.7094333333333314</c:v>
                </c:pt>
                <c:pt idx="4">
                  <c:v>10.17895</c:v>
                </c:pt>
                <c:pt idx="5">
                  <c:v>11.088666666666667</c:v>
                </c:pt>
                <c:pt idx="6">
                  <c:v>11.286049999999999</c:v>
                </c:pt>
                <c:pt idx="7">
                  <c:v>11.808</c:v>
                </c:pt>
                <c:pt idx="8">
                  <c:v>11.9323200507901</c:v>
                </c:pt>
                <c:pt idx="9">
                  <c:v>11.442941876642301</c:v>
                </c:pt>
                <c:pt idx="10">
                  <c:v>10.649850000000001</c:v>
                </c:pt>
                <c:pt idx="11">
                  <c:v>10.843333333333334</c:v>
                </c:pt>
                <c:pt idx="12">
                  <c:v>10.05335</c:v>
                </c:pt>
                <c:pt idx="13">
                  <c:v>9.8924745850916072</c:v>
                </c:pt>
                <c:pt idx="14">
                  <c:v>9.9087500000000013</c:v>
                </c:pt>
                <c:pt idx="15">
                  <c:v>9.8606216891299212</c:v>
                </c:pt>
                <c:pt idx="16">
                  <c:v>9.6217000000000006</c:v>
                </c:pt>
                <c:pt idx="17">
                  <c:v>9.5736297103588139</c:v>
                </c:pt>
                <c:pt idx="18">
                  <c:v>9.46645</c:v>
                </c:pt>
                <c:pt idx="19">
                  <c:v>8.2749999999999986</c:v>
                </c:pt>
                <c:pt idx="20">
                  <c:v>7.4512710804370004</c:v>
                </c:pt>
                <c:pt idx="21">
                  <c:v>7.6572591558888199</c:v>
                </c:pt>
              </c:numCache>
            </c:numRef>
          </c:val>
          <c:smooth val="0"/>
          <c:extLst>
            <c:ext xmlns:c16="http://schemas.microsoft.com/office/drawing/2014/chart" uri="{C3380CC4-5D6E-409C-BE32-E72D297353CC}">
              <c16:uniqueId val="{00000002-EFDD-4565-9D57-07B6CAF03317}"/>
            </c:ext>
          </c:extLst>
        </c:ser>
        <c:ser>
          <c:idx val="2"/>
          <c:order val="2"/>
          <c:tx>
            <c:strRef>
              <c:f>Sheet1!$E$1</c:f>
              <c:strCache>
                <c:ptCount val="1"/>
                <c:pt idx="0">
                  <c:v>Երկարաժամկետ ՊՊ</c:v>
                </c:pt>
              </c:strCache>
            </c:strRef>
          </c:tx>
          <c:spPr>
            <a:ln w="28575" cap="rnd">
              <a:noFill/>
              <a:round/>
            </a:ln>
            <a:effectLst/>
          </c:spPr>
          <c:marker>
            <c:symbol val="circle"/>
            <c:size val="5"/>
            <c:spPr>
              <a:solidFill>
                <a:srgbClr val="F79646"/>
              </a:solidFill>
              <a:ln w="9525">
                <a:solidFill>
                  <a:srgbClr val="F79646"/>
                </a:solidFill>
              </a:ln>
              <a:effectLst/>
            </c:spPr>
          </c:marker>
          <c:cat>
            <c:multiLvlStrRef>
              <c:f>Sheet1!$A$14:$B$43</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Sheet1!$E$2:$E$43</c:f>
              <c:numCache>
                <c:formatCode>0.0</c:formatCode>
                <c:ptCount val="22"/>
                <c:pt idx="0">
                  <c:v>9.681431525610396</c:v>
                </c:pt>
                <c:pt idx="1">
                  <c:v>9.8704542865300873</c:v>
                </c:pt>
                <c:pt idx="2">
                  <c:v>9.9131</c:v>
                </c:pt>
                <c:pt idx="3">
                  <c:v>10.289874523669795</c:v>
                </c:pt>
                <c:pt idx="4">
                  <c:v>10.6031</c:v>
                </c:pt>
                <c:pt idx="5">
                  <c:v>11.6937</c:v>
                </c:pt>
                <c:pt idx="6">
                  <c:v>11.8903</c:v>
                </c:pt>
                <c:pt idx="8">
                  <c:v>11.9801</c:v>
                </c:pt>
                <c:pt idx="9">
                  <c:v>11.785450025631398</c:v>
                </c:pt>
                <c:pt idx="10">
                  <c:v>11.116300000000001</c:v>
                </c:pt>
                <c:pt idx="11">
                  <c:v>10.227523897900451</c:v>
                </c:pt>
                <c:pt idx="12">
                  <c:v>10.952400000000001</c:v>
                </c:pt>
                <c:pt idx="13">
                  <c:v>9.8869461294130492</c:v>
                </c:pt>
                <c:pt idx="14">
                  <c:v>9.9582999999999995</c:v>
                </c:pt>
                <c:pt idx="15">
                  <c:v>9.9590764933582605</c:v>
                </c:pt>
                <c:pt idx="16">
                  <c:v>9.9671000000000003</c:v>
                </c:pt>
                <c:pt idx="17">
                  <c:v>9.8579000000000008</c:v>
                </c:pt>
                <c:pt idx="18">
                  <c:v>9.9328000000000003</c:v>
                </c:pt>
                <c:pt idx="19">
                  <c:v>9.3391999999999999</c:v>
                </c:pt>
                <c:pt idx="20">
                  <c:v>8.0969999999999995</c:v>
                </c:pt>
                <c:pt idx="21">
                  <c:v>8.2938521744091496</c:v>
                </c:pt>
              </c:numCache>
            </c:numRef>
          </c:val>
          <c:smooth val="0"/>
          <c:extLst>
            <c:ext xmlns:c16="http://schemas.microsoft.com/office/drawing/2014/chart" uri="{C3380CC4-5D6E-409C-BE32-E72D297353CC}">
              <c16:uniqueId val="{00000003-EFDD-4565-9D57-07B6CAF03317}"/>
            </c:ext>
          </c:extLst>
        </c:ser>
        <c:dLbls>
          <c:showLegendKey val="0"/>
          <c:showVal val="0"/>
          <c:showCatName val="0"/>
          <c:showSerName val="0"/>
          <c:showPercent val="0"/>
          <c:showBubbleSize val="0"/>
        </c:dLbls>
        <c:marker val="1"/>
        <c:smooth val="0"/>
        <c:axId val="1045019312"/>
        <c:axId val="1045012424"/>
      </c:lineChart>
      <c:catAx>
        <c:axId val="1045019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2424"/>
        <c:crosses val="autoZero"/>
        <c:auto val="1"/>
        <c:lblAlgn val="ctr"/>
        <c:lblOffset val="100"/>
        <c:noMultiLvlLbl val="0"/>
      </c:catAx>
      <c:valAx>
        <c:axId val="1045012424"/>
        <c:scaling>
          <c:orientation val="minMax"/>
          <c:max val="1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9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aseline="0">
                <a:solidFill>
                  <a:schemeClr val="tx1">
                    <a:lumMod val="65000"/>
                    <a:lumOff val="35000"/>
                  </a:schemeClr>
                </a:solidFill>
              </a:rPr>
              <a:t>Եկամտաբերություններ, </a:t>
            </a:r>
            <a:r>
              <a:rPr lang="en-US" sz="1000" baseline="0">
                <a:solidFill>
                  <a:schemeClr val="tx1">
                    <a:lumMod val="65000"/>
                    <a:lumOff val="35000"/>
                  </a:schemeClr>
                </a:solidFill>
              </a:rPr>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9.2693925803374932E-2"/>
          <c:y val="0.15405761779777527"/>
          <c:w val="0.83901202863166213"/>
          <c:h val="0.47725147366502008"/>
        </c:manualLayout>
      </c:layout>
      <c:lineChart>
        <c:grouping val="standard"/>
        <c:varyColors val="0"/>
        <c:ser>
          <c:idx val="1"/>
          <c:order val="1"/>
          <c:tx>
            <c:strRef>
              <c:f>Sheet1!$D$1</c:f>
              <c:strCache>
                <c:ptCount val="1"/>
                <c:pt idx="0">
                  <c:v>2025թ. մարվող պարտատոմսեր</c:v>
                </c:pt>
              </c:strCache>
            </c:strRef>
          </c:tx>
          <c:spPr>
            <a:ln w="28575" cap="rnd">
              <a:solidFill>
                <a:srgbClr val="F79646">
                  <a:lumMod val="60000"/>
                  <a:lumOff val="40000"/>
                </a:srgbClr>
              </a:solidFill>
              <a:round/>
            </a:ln>
            <a:effectLst/>
          </c:spPr>
          <c:marker>
            <c:symbol val="none"/>
          </c:marker>
          <c:cat>
            <c:multiLvlStrRef>
              <c:f>Sheet1!$A$28:$B$79</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Sheet1!$D$16:$D$76</c:f>
            </c:numRef>
          </c:val>
          <c:smooth val="0"/>
          <c:extLst>
            <c:ext xmlns:c16="http://schemas.microsoft.com/office/drawing/2014/chart" uri="{C3380CC4-5D6E-409C-BE32-E72D297353CC}">
              <c16:uniqueId val="{00000000-02D8-43BA-A1E4-07574F0C3320}"/>
            </c:ext>
          </c:extLst>
        </c:ser>
        <c:ser>
          <c:idx val="2"/>
          <c:order val="2"/>
          <c:tx>
            <c:strRef>
              <c:f>Sheet1!$E$1</c:f>
              <c:strCache>
                <c:ptCount val="1"/>
                <c:pt idx="0">
                  <c:v>2029թ. մարվող պարտատոմսեր</c:v>
                </c:pt>
              </c:strCache>
            </c:strRef>
          </c:tx>
          <c:spPr>
            <a:ln w="28575" cap="rnd">
              <a:solidFill>
                <a:srgbClr val="F79646"/>
              </a:solidFill>
              <a:round/>
            </a:ln>
            <a:effectLst/>
          </c:spPr>
          <c:marker>
            <c:symbol val="none"/>
          </c:marker>
          <c:cat>
            <c:multiLvlStrRef>
              <c:f>Sheet1!$A$28:$B$79</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Sheet1!$E$16:$E$79</c:f>
              <c:numCache>
                <c:formatCode>0.0</c:formatCode>
                <c:ptCount val="22"/>
                <c:pt idx="0">
                  <c:v>4.4904782608695655</c:v>
                </c:pt>
                <c:pt idx="1">
                  <c:v>4.2633181818181818</c:v>
                </c:pt>
                <c:pt idx="2">
                  <c:v>4.0162272727272734</c:v>
                </c:pt>
                <c:pt idx="3">
                  <c:v>4.3866190476190461</c:v>
                </c:pt>
                <c:pt idx="4">
                  <c:v>6.8682173913043476</c:v>
                </c:pt>
                <c:pt idx="5">
                  <c:v>8.2034500000000001</c:v>
                </c:pt>
                <c:pt idx="6">
                  <c:v>8.7533500000000011</c:v>
                </c:pt>
                <c:pt idx="7">
                  <c:v>7.0670952380952361</c:v>
                </c:pt>
                <c:pt idx="8">
                  <c:v>7.5711739130434781</c:v>
                </c:pt>
                <c:pt idx="9">
                  <c:v>7.398681818181819</c:v>
                </c:pt>
                <c:pt idx="10">
                  <c:v>7.4433538461538475</c:v>
                </c:pt>
                <c:pt idx="11">
                  <c:v>7.6833333333333345</c:v>
                </c:pt>
                <c:pt idx="12">
                  <c:v>6.9522786885245909</c:v>
                </c:pt>
                <c:pt idx="13">
                  <c:v>7.0754920634920646</c:v>
                </c:pt>
                <c:pt idx="14">
                  <c:v>6.7260937499999986</c:v>
                </c:pt>
                <c:pt idx="15">
                  <c:v>6.7321666666666662</c:v>
                </c:pt>
                <c:pt idx="16">
                  <c:v>6.8342187499999989</c:v>
                </c:pt>
                <c:pt idx="17">
                  <c:v>6.5230158730158756</c:v>
                </c:pt>
                <c:pt idx="18">
                  <c:v>5.8622079804253717</c:v>
                </c:pt>
                <c:pt idx="19">
                  <c:v>5.3977376811594198</c:v>
                </c:pt>
                <c:pt idx="20">
                  <c:v>5.4991818181818184</c:v>
                </c:pt>
                <c:pt idx="21">
                  <c:v>5.4236818181818167</c:v>
                </c:pt>
              </c:numCache>
            </c:numRef>
          </c:val>
          <c:smooth val="0"/>
          <c:extLst>
            <c:ext xmlns:c16="http://schemas.microsoft.com/office/drawing/2014/chart" uri="{C3380CC4-5D6E-409C-BE32-E72D297353CC}">
              <c16:uniqueId val="{00000001-02D8-43BA-A1E4-07574F0C3320}"/>
            </c:ext>
          </c:extLst>
        </c:ser>
        <c:ser>
          <c:idx val="3"/>
          <c:order val="3"/>
          <c:tx>
            <c:strRef>
              <c:f>Sheet1!$F$1</c:f>
              <c:strCache>
                <c:ptCount val="1"/>
                <c:pt idx="0">
                  <c:v>2031թ. մարվող պարտատոմսեր</c:v>
                </c:pt>
              </c:strCache>
            </c:strRef>
          </c:tx>
          <c:spPr>
            <a:ln w="28575" cap="rnd">
              <a:solidFill>
                <a:sysClr val="windowText" lastClr="000000">
                  <a:lumMod val="50000"/>
                  <a:lumOff val="50000"/>
                </a:sysClr>
              </a:solidFill>
              <a:round/>
            </a:ln>
            <a:effectLst/>
          </c:spPr>
          <c:marker>
            <c:symbol val="none"/>
          </c:marker>
          <c:cat>
            <c:multiLvlStrRef>
              <c:f>Sheet1!$A$28:$B$79</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Sheet1!$F$16:$F$79</c:f>
              <c:numCache>
                <c:formatCode>0.0</c:formatCode>
                <c:ptCount val="22"/>
                <c:pt idx="0">
                  <c:v>4.6077826086956497</c:v>
                </c:pt>
                <c:pt idx="1">
                  <c:v>4.4961363636363636</c:v>
                </c:pt>
                <c:pt idx="2">
                  <c:v>4.1649090909090898</c:v>
                </c:pt>
                <c:pt idx="3">
                  <c:v>4.5901428571428564</c:v>
                </c:pt>
                <c:pt idx="4">
                  <c:v>7.189913043478259</c:v>
                </c:pt>
                <c:pt idx="5">
                  <c:v>8.3145000000000007</c:v>
                </c:pt>
                <c:pt idx="6">
                  <c:v>8.5759000000000007</c:v>
                </c:pt>
                <c:pt idx="7">
                  <c:v>6.8412857142857133</c:v>
                </c:pt>
                <c:pt idx="8">
                  <c:v>7.607956521739129</c:v>
                </c:pt>
                <c:pt idx="9">
                  <c:v>7.484909090909091</c:v>
                </c:pt>
                <c:pt idx="10">
                  <c:v>7.5491846153846156</c:v>
                </c:pt>
                <c:pt idx="11">
                  <c:v>8.0171904761904749</c:v>
                </c:pt>
                <c:pt idx="12">
                  <c:v>7.1284262295081948</c:v>
                </c:pt>
                <c:pt idx="13">
                  <c:v>7.2118412698412699</c:v>
                </c:pt>
                <c:pt idx="14">
                  <c:v>6.8114687500000013</c:v>
                </c:pt>
                <c:pt idx="15">
                  <c:v>6.8159848484848506</c:v>
                </c:pt>
                <c:pt idx="16">
                  <c:v>6.93303125</c:v>
                </c:pt>
                <c:pt idx="17">
                  <c:v>6.8377301587301584</c:v>
                </c:pt>
                <c:pt idx="18">
                  <c:v>6.1097325741890955</c:v>
                </c:pt>
                <c:pt idx="19">
                  <c:v>5.6441963768115953</c:v>
                </c:pt>
                <c:pt idx="20">
                  <c:v>5.8304090909090913</c:v>
                </c:pt>
                <c:pt idx="21">
                  <c:v>5.596454545454546</c:v>
                </c:pt>
              </c:numCache>
            </c:numRef>
          </c:val>
          <c:smooth val="0"/>
          <c:extLst>
            <c:ext xmlns:c16="http://schemas.microsoft.com/office/drawing/2014/chart" uri="{C3380CC4-5D6E-409C-BE32-E72D297353CC}">
              <c16:uniqueId val="{00000002-02D8-43BA-A1E4-07574F0C3320}"/>
            </c:ext>
          </c:extLst>
        </c:ser>
        <c:ser>
          <c:idx val="4"/>
          <c:order val="4"/>
          <c:tx>
            <c:strRef>
              <c:f>Sheet1!$G$1</c:f>
              <c:strCache>
                <c:ptCount val="1"/>
                <c:pt idx="0">
                  <c:v>2035թ. մարվող պարտատոմսեր</c:v>
                </c:pt>
              </c:strCache>
            </c:strRef>
          </c:tx>
          <c:spPr>
            <a:ln w="28575" cap="rnd">
              <a:solidFill>
                <a:srgbClr val="4F81BD">
                  <a:lumMod val="75000"/>
                </a:srgbClr>
              </a:solidFill>
              <a:round/>
            </a:ln>
            <a:effectLst/>
          </c:spPr>
          <c:marker>
            <c:symbol val="none"/>
          </c:marker>
          <c:dPt>
            <c:idx val="16"/>
            <c:marker>
              <c:symbol val="none"/>
            </c:marker>
            <c:bubble3D val="0"/>
            <c:extLst>
              <c:ext xmlns:c16="http://schemas.microsoft.com/office/drawing/2014/chart" uri="{C3380CC4-5D6E-409C-BE32-E72D297353CC}">
                <c16:uniqueId val="{00000003-02D8-43BA-A1E4-07574F0C3320}"/>
              </c:ext>
            </c:extLst>
          </c:dPt>
          <c:dPt>
            <c:idx val="17"/>
            <c:marker>
              <c:symbol val="none"/>
            </c:marker>
            <c:bubble3D val="0"/>
            <c:extLst>
              <c:ext xmlns:c16="http://schemas.microsoft.com/office/drawing/2014/chart" uri="{C3380CC4-5D6E-409C-BE32-E72D297353CC}">
                <c16:uniqueId val="{00000004-02D8-43BA-A1E4-07574F0C3320}"/>
              </c:ext>
            </c:extLst>
          </c:dPt>
          <c:cat>
            <c:multiLvlStrRef>
              <c:f>Sheet1!$A$28:$B$79</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Sheet1!$G$28:$G$79</c:f>
              <c:numCache>
                <c:formatCode>General</c:formatCode>
                <c:ptCount val="22"/>
                <c:pt idx="16" formatCode="0.0">
                  <c:v>7.1384117647058831</c:v>
                </c:pt>
                <c:pt idx="17" formatCode="0.0">
                  <c:v>7.4461475409836062</c:v>
                </c:pt>
                <c:pt idx="18" formatCode="0.0">
                  <c:v>6.8006212121212117</c:v>
                </c:pt>
                <c:pt idx="19" formatCode="0.0">
                  <c:v>6.2269537403015676</c:v>
                </c:pt>
                <c:pt idx="20" formatCode="0.0">
                  <c:v>6.2223181818181823</c:v>
                </c:pt>
                <c:pt idx="21" formatCode="0.0">
                  <c:v>6.043047619047619</c:v>
                </c:pt>
              </c:numCache>
            </c:numRef>
          </c:val>
          <c:smooth val="0"/>
          <c:extLst>
            <c:ext xmlns:c16="http://schemas.microsoft.com/office/drawing/2014/chart" uri="{C3380CC4-5D6E-409C-BE32-E72D297353CC}">
              <c16:uniqueId val="{00000005-02D8-43BA-A1E4-07574F0C3320}"/>
            </c:ext>
          </c:extLst>
        </c:ser>
        <c:dLbls>
          <c:showLegendKey val="0"/>
          <c:showVal val="0"/>
          <c:showCatName val="0"/>
          <c:showSerName val="0"/>
          <c:showPercent val="0"/>
          <c:showBubbleSize val="0"/>
        </c:dLbls>
        <c:marker val="1"/>
        <c:smooth val="0"/>
        <c:axId val="1152193232"/>
        <c:axId val="1152193560"/>
      </c:lineChar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Sheet1!$A$28:$B$74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2021</c:v>
                  </c:pt>
                  <c:pt idx="4">
                    <c:v>2022</c:v>
                  </c:pt>
                  <c:pt idx="8">
                    <c:v>2023</c:v>
                  </c:pt>
                  <c:pt idx="12">
                    <c:v>2024</c:v>
                  </c:pt>
                  <c:pt idx="16">
                    <c:v>2025</c:v>
                  </c:pt>
                </c:lvl>
              </c:multiLvlStrCache>
            </c:multiLvlStrRef>
          </c:cat>
          <c:val>
            <c:numRef>
              <c:f>Sheet1!$C$16:$C$67</c:f>
            </c:numRef>
          </c:val>
          <c:smooth val="0"/>
          <c:extLst>
            <c:ext xmlns:c16="http://schemas.microsoft.com/office/drawing/2014/chart" uri="{C3380CC4-5D6E-409C-BE32-E72D297353CC}">
              <c16:uniqueId val="{00000006-02D8-43BA-A1E4-07574F0C3320}"/>
            </c:ext>
          </c:extLst>
        </c:ser>
        <c:dLbls>
          <c:showLegendKey val="0"/>
          <c:showVal val="0"/>
          <c:showCatName val="0"/>
          <c:showSerName val="0"/>
          <c:showPercent val="0"/>
          <c:showBubbleSize val="0"/>
        </c:dLbls>
        <c:marker val="1"/>
        <c:smooth val="0"/>
        <c:axId val="1152193232"/>
        <c:axId val="1152193560"/>
      </c:lineChart>
      <c:catAx>
        <c:axId val="115219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560"/>
        <c:crosses val="autoZero"/>
        <c:auto val="1"/>
        <c:lblAlgn val="ctr"/>
        <c:lblOffset val="100"/>
        <c:noMultiLvlLbl val="0"/>
      </c:catAx>
      <c:valAx>
        <c:axId val="115219356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232"/>
        <c:crosses val="autoZero"/>
        <c:crossBetween val="between"/>
      </c:valAx>
      <c:spPr>
        <a:noFill/>
        <a:ln>
          <a:noFill/>
        </a:ln>
        <a:effectLst/>
      </c:spPr>
    </c:plotArea>
    <c:legend>
      <c:legendPos val="b"/>
      <c:layout>
        <c:manualLayout>
          <c:xMode val="edge"/>
          <c:yMode val="edge"/>
          <c:x val="4.2651574803149607E-2"/>
          <c:y val="0.79901379471998191"/>
          <c:w val="0.95734834468867014"/>
          <c:h val="0.200986175893686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Ռիսկի հավելավճար, բազիսային կետ</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5363043161271508"/>
          <c:y val="0.14039812829350026"/>
          <c:w val="0.77950204141149027"/>
          <c:h val="0.49521429997656025"/>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Sheet1!$A$28:$B$79</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Sheet1!$C$2:$C$68</c:f>
            </c:numRef>
          </c:val>
          <c:smooth val="0"/>
          <c:extLst>
            <c:ext xmlns:c16="http://schemas.microsoft.com/office/drawing/2014/chart" uri="{C3380CC4-5D6E-409C-BE32-E72D297353CC}">
              <c16:uniqueId val="{00000000-6C0A-4B2D-B125-021E716A4977}"/>
            </c:ext>
          </c:extLst>
        </c:ser>
        <c:ser>
          <c:idx val="1"/>
          <c:order val="1"/>
          <c:tx>
            <c:strRef>
              <c:f>Sheet1!$D$1</c:f>
              <c:strCache>
                <c:ptCount val="1"/>
                <c:pt idx="0">
                  <c:v>2025թ. մարվող պարտատոմսեր</c:v>
                </c:pt>
              </c:strCache>
            </c:strRef>
          </c:tx>
          <c:spPr>
            <a:ln w="28575" cap="rnd">
              <a:solidFill>
                <a:srgbClr val="FAC090"/>
              </a:solidFill>
              <a:round/>
            </a:ln>
            <a:effectLst/>
          </c:spPr>
          <c:marker>
            <c:symbol val="none"/>
          </c:marker>
          <c:cat>
            <c:multiLvlStrRef>
              <c:f>Sheet1!$A$28:$B$79</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Sheet1!$D$16:$D$75</c:f>
            </c:numRef>
          </c:val>
          <c:smooth val="0"/>
          <c:extLst>
            <c:ext xmlns:c16="http://schemas.microsoft.com/office/drawing/2014/chart" uri="{C3380CC4-5D6E-409C-BE32-E72D297353CC}">
              <c16:uniqueId val="{00000001-6C0A-4B2D-B125-021E716A4977}"/>
            </c:ext>
          </c:extLst>
        </c:ser>
        <c:ser>
          <c:idx val="2"/>
          <c:order val="2"/>
          <c:tx>
            <c:strRef>
              <c:f>Sheet1!$E$1</c:f>
              <c:strCache>
                <c:ptCount val="1"/>
                <c:pt idx="0">
                  <c:v>2029թ. մարվող պարտատոմսեր</c:v>
                </c:pt>
              </c:strCache>
            </c:strRef>
          </c:tx>
          <c:spPr>
            <a:ln w="28575" cap="rnd">
              <a:solidFill>
                <a:srgbClr val="F79646"/>
              </a:solidFill>
              <a:round/>
            </a:ln>
            <a:effectLst/>
          </c:spPr>
          <c:marker>
            <c:symbol val="none"/>
          </c:marker>
          <c:cat>
            <c:multiLvlStrRef>
              <c:f>Sheet1!$A$28:$B$79</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Sheet1!$E$16:$E$79</c:f>
              <c:numCache>
                <c:formatCode>0.0</c:formatCode>
                <c:ptCount val="22"/>
                <c:pt idx="0">
                  <c:v>288.58165217391308</c:v>
                </c:pt>
                <c:pt idx="1">
                  <c:v>275.1784545454546</c:v>
                </c:pt>
                <c:pt idx="2">
                  <c:v>264.96990909090908</c:v>
                </c:pt>
                <c:pt idx="3">
                  <c:v>292.65804761904764</c:v>
                </c:pt>
                <c:pt idx="4">
                  <c:v>474.19495652173907</c:v>
                </c:pt>
                <c:pt idx="5">
                  <c:v>505.30729999999994</c:v>
                </c:pt>
                <c:pt idx="6">
                  <c:v>527.93804761904767</c:v>
                </c:pt>
                <c:pt idx="7">
                  <c:v>346.68850000000003</c:v>
                </c:pt>
                <c:pt idx="8">
                  <c:v>344.51777419354835</c:v>
                </c:pt>
                <c:pt idx="9">
                  <c:v>367.83704838709673</c:v>
                </c:pt>
                <c:pt idx="10">
                  <c:v>311.25285714285712</c:v>
                </c:pt>
                <c:pt idx="11">
                  <c:v>320.38603225806452</c:v>
                </c:pt>
                <c:pt idx="12">
                  <c:v>282.87555384615388</c:v>
                </c:pt>
                <c:pt idx="13">
                  <c:v>260.92153124999993</c:v>
                </c:pt>
                <c:pt idx="14">
                  <c:v>293.11669696969699</c:v>
                </c:pt>
                <c:pt idx="15">
                  <c:v>260.39537878787883</c:v>
                </c:pt>
                <c:pt idx="16">
                  <c:v>257.94717187500004</c:v>
                </c:pt>
                <c:pt idx="17">
                  <c:v>255.24176190476183</c:v>
                </c:pt>
                <c:pt idx="18">
                  <c:v>207.12390469916556</c:v>
                </c:pt>
                <c:pt idx="19">
                  <c:v>172.7319739130435</c:v>
                </c:pt>
                <c:pt idx="20">
                  <c:v>176.56572727272726</c:v>
                </c:pt>
                <c:pt idx="21">
                  <c:v>127.29613636363636</c:v>
                </c:pt>
              </c:numCache>
            </c:numRef>
          </c:val>
          <c:smooth val="0"/>
          <c:extLst>
            <c:ext xmlns:c16="http://schemas.microsoft.com/office/drawing/2014/chart" uri="{C3380CC4-5D6E-409C-BE32-E72D297353CC}">
              <c16:uniqueId val="{00000002-6C0A-4B2D-B125-021E716A4977}"/>
            </c:ext>
          </c:extLst>
        </c:ser>
        <c:ser>
          <c:idx val="3"/>
          <c:order val="3"/>
          <c:tx>
            <c:strRef>
              <c:f>Sheet1!$F$1</c:f>
              <c:strCache>
                <c:ptCount val="1"/>
                <c:pt idx="0">
                  <c:v>2031թ. մարվող պարտատոմսեր</c:v>
                </c:pt>
              </c:strCache>
            </c:strRef>
          </c:tx>
          <c:spPr>
            <a:ln w="28575" cap="rnd">
              <a:solidFill>
                <a:sysClr val="windowText" lastClr="000000">
                  <a:lumMod val="50000"/>
                  <a:lumOff val="50000"/>
                </a:sysClr>
              </a:solidFill>
              <a:round/>
            </a:ln>
            <a:effectLst/>
          </c:spPr>
          <c:marker>
            <c:symbol val="none"/>
          </c:marker>
          <c:cat>
            <c:multiLvlStrRef>
              <c:f>Sheet1!$A$28:$B$79</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Sheet1!$F$16:$F$79</c:f>
              <c:numCache>
                <c:formatCode>0.0</c:formatCode>
                <c:ptCount val="22"/>
                <c:pt idx="0">
                  <c:v>293.64643478260865</c:v>
                </c:pt>
                <c:pt idx="1">
                  <c:v>292.26331818181819</c:v>
                </c:pt>
                <c:pt idx="2">
                  <c:v>274.45186363636361</c:v>
                </c:pt>
                <c:pt idx="3">
                  <c:v>304.84927272727271</c:v>
                </c:pt>
                <c:pt idx="4">
                  <c:v>494.65360869565217</c:v>
                </c:pt>
                <c:pt idx="5">
                  <c:v>505.76620000000003</c:v>
                </c:pt>
                <c:pt idx="6">
                  <c:v>496.96447619047615</c:v>
                </c:pt>
                <c:pt idx="7">
                  <c:v>312.66779999999994</c:v>
                </c:pt>
                <c:pt idx="8">
                  <c:v>364.13509677419353</c:v>
                </c:pt>
                <c:pt idx="9">
                  <c:v>372.4433387096775</c:v>
                </c:pt>
                <c:pt idx="10">
                  <c:v>326.68344444444443</c:v>
                </c:pt>
                <c:pt idx="11">
                  <c:v>341.11614516129043</c:v>
                </c:pt>
                <c:pt idx="12">
                  <c:v>297.32936923076926</c:v>
                </c:pt>
                <c:pt idx="13">
                  <c:v>276.889515625</c:v>
                </c:pt>
                <c:pt idx="14">
                  <c:v>286.80215151515142</c:v>
                </c:pt>
                <c:pt idx="15">
                  <c:v>253.75645454545449</c:v>
                </c:pt>
                <c:pt idx="16">
                  <c:v>267.79970312499995</c:v>
                </c:pt>
                <c:pt idx="17">
                  <c:v>286.48993650793659</c:v>
                </c:pt>
                <c:pt idx="18">
                  <c:v>231.41038779095302</c:v>
                </c:pt>
                <c:pt idx="19">
                  <c:v>197.34431956521743</c:v>
                </c:pt>
                <c:pt idx="20">
                  <c:v>198.17213636363633</c:v>
                </c:pt>
                <c:pt idx="21">
                  <c:v>138.39677272727275</c:v>
                </c:pt>
              </c:numCache>
            </c:numRef>
          </c:val>
          <c:smooth val="0"/>
          <c:extLst>
            <c:ext xmlns:c16="http://schemas.microsoft.com/office/drawing/2014/chart" uri="{C3380CC4-5D6E-409C-BE32-E72D297353CC}">
              <c16:uniqueId val="{00000003-6C0A-4B2D-B125-021E716A4977}"/>
            </c:ext>
          </c:extLst>
        </c:ser>
        <c:ser>
          <c:idx val="4"/>
          <c:order val="4"/>
          <c:tx>
            <c:strRef>
              <c:f>Sheet1!$G$1</c:f>
              <c:strCache>
                <c:ptCount val="1"/>
                <c:pt idx="0">
                  <c:v>2035թ. մարվող պարտատոմսեր</c:v>
                </c:pt>
              </c:strCache>
            </c:strRef>
          </c:tx>
          <c:spPr>
            <a:ln w="28575" cap="rnd">
              <a:solidFill>
                <a:srgbClr val="4F81BD">
                  <a:lumMod val="75000"/>
                </a:srgbClr>
              </a:solidFill>
              <a:round/>
            </a:ln>
            <a:effectLst/>
          </c:spPr>
          <c:marker>
            <c:symbol val="none"/>
          </c:marker>
          <c:cat>
            <c:multiLvlStrRef>
              <c:f>Sheet1!$A$28:$B$79</c:f>
              <c:multiLvlStrCache>
                <c:ptCount val="22"/>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pt idx="20">
                    <c:v>I</c:v>
                  </c:pt>
                  <c:pt idx="21">
                    <c:v>II</c:v>
                  </c:pt>
                </c:lvl>
                <c:lvl>
                  <c:pt idx="0">
                    <c:v>2021</c:v>
                  </c:pt>
                  <c:pt idx="4">
                    <c:v>2022</c:v>
                  </c:pt>
                  <c:pt idx="8">
                    <c:v>2023</c:v>
                  </c:pt>
                  <c:pt idx="12">
                    <c:v>2024</c:v>
                  </c:pt>
                  <c:pt idx="16">
                    <c:v>2025</c:v>
                  </c:pt>
                  <c:pt idx="20">
                    <c:v>2026</c:v>
                  </c:pt>
                </c:lvl>
              </c:multiLvlStrCache>
            </c:multiLvlStrRef>
          </c:cat>
          <c:val>
            <c:numRef>
              <c:f>Sheet1!$G$28:$G$79</c:f>
              <c:numCache>
                <c:formatCode>General</c:formatCode>
                <c:ptCount val="22"/>
                <c:pt idx="16" formatCode="0.0">
                  <c:v>285.61894117647057</c:v>
                </c:pt>
                <c:pt idx="17" formatCode="0.0">
                  <c:v>308.64421311475405</c:v>
                </c:pt>
                <c:pt idx="18" formatCode="0.0">
                  <c:v>247.53934415584413</c:v>
                </c:pt>
                <c:pt idx="19" formatCode="0.0">
                  <c:v>213.50520077587467</c:v>
                </c:pt>
                <c:pt idx="20" formatCode="0.0">
                  <c:v>196.95561904761905</c:v>
                </c:pt>
                <c:pt idx="21" formatCode="0.0">
                  <c:v>157.73619047619047</c:v>
                </c:pt>
              </c:numCache>
            </c:numRef>
          </c:val>
          <c:smooth val="0"/>
          <c:extLst>
            <c:ext xmlns:c16="http://schemas.microsoft.com/office/drawing/2014/chart" uri="{C3380CC4-5D6E-409C-BE32-E72D297353CC}">
              <c16:uniqueId val="{00000004-6C0A-4B2D-B125-021E716A4977}"/>
            </c:ext>
          </c:extLst>
        </c:ser>
        <c:dLbls>
          <c:showLegendKey val="0"/>
          <c:showVal val="0"/>
          <c:showCatName val="0"/>
          <c:showSerName val="0"/>
          <c:showPercent val="0"/>
          <c:showBubbleSize val="0"/>
        </c:dLbls>
        <c:smooth val="0"/>
        <c:axId val="1152192904"/>
        <c:axId val="1152194872"/>
      </c:lineChart>
      <c:catAx>
        <c:axId val="1152192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4872"/>
        <c:crosses val="autoZero"/>
        <c:auto val="1"/>
        <c:lblAlgn val="ctr"/>
        <c:lblOffset val="100"/>
        <c:noMultiLvlLbl val="0"/>
      </c:catAx>
      <c:valAx>
        <c:axId val="115219487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2904"/>
        <c:crosses val="autoZero"/>
        <c:crossBetween val="between"/>
      </c:valAx>
      <c:spPr>
        <a:noFill/>
        <a:ln>
          <a:noFill/>
        </a:ln>
        <a:effectLst/>
      </c:spPr>
    </c:plotArea>
    <c:legend>
      <c:legendPos val="b"/>
      <c:layout>
        <c:manualLayout>
          <c:xMode val="edge"/>
          <c:yMode val="edge"/>
          <c:x val="4.2615558471857676E-2"/>
          <c:y val="0.80816501575671285"/>
          <c:w val="0.93281892289526358"/>
          <c:h val="0.1918350492243296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val>
            <c:numRef>
              <c:f>Sheet1!$C$2:$C$67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0-4076-4C14-9D5D-1AA9284EB811}"/>
            </c:ext>
          </c:extLst>
        </c:ser>
        <c:ser>
          <c:idx val="1"/>
          <c:order val="1"/>
          <c:tx>
            <c:strRef>
              <c:f>Sheet1!$D$1</c:f>
              <c:strCache>
                <c:ptCount val="1"/>
                <c:pt idx="0">
                  <c:v>ԵԳ</c:v>
                </c:pt>
              </c:strCache>
            </c:strRef>
          </c:tx>
          <c:spPr>
            <a:ln w="28575" cap="rnd">
              <a:solidFill>
                <a:schemeClr val="accent1"/>
              </a:solidFill>
              <a:round/>
            </a:ln>
            <a:effectLst/>
          </c:spPr>
          <c:marker>
            <c:symbol val="none"/>
          </c:marker>
          <c:val>
            <c:numRef>
              <c:f>Sheet1!$D$2:$D$67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1-4076-4C14-9D5D-1AA9284EB811}"/>
            </c:ext>
          </c:extLst>
        </c:ser>
        <c:ser>
          <c:idx val="2"/>
          <c:order val="2"/>
          <c:tx>
            <c:strRef>
              <c:f>Sheet1!$E$1</c:f>
              <c:strCache>
                <c:ptCount val="1"/>
                <c:pt idx="0">
                  <c:v>Չինաստան</c:v>
                </c:pt>
              </c:strCache>
            </c:strRef>
          </c:tx>
          <c:spPr>
            <a:ln w="28575" cap="rnd">
              <a:solidFill>
                <a:schemeClr val="bg1">
                  <a:lumMod val="65000"/>
                </a:schemeClr>
              </a:solidFill>
              <a:round/>
            </a:ln>
            <a:effectLst/>
          </c:spPr>
          <c:marker>
            <c:symbol val="none"/>
          </c:marker>
          <c:val>
            <c:numRef>
              <c:f>Sheet1!$E$2:$E$67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2-4076-4C14-9D5D-1AA9284EB811}"/>
            </c:ext>
          </c:extLst>
        </c:ser>
        <c:ser>
          <c:idx val="3"/>
          <c:order val="3"/>
          <c:tx>
            <c:strRef>
              <c:f>Sheet1!$F$1</c:f>
              <c:strCache>
                <c:ptCount val="1"/>
                <c:pt idx="0">
                  <c:v>ՌԴ</c:v>
                </c:pt>
              </c:strCache>
            </c:strRef>
          </c:tx>
          <c:spPr>
            <a:ln w="28575" cap="rnd">
              <a:solidFill>
                <a:schemeClr val="accent6">
                  <a:lumMod val="60000"/>
                  <a:lumOff val="40000"/>
                </a:schemeClr>
              </a:solidFill>
              <a:round/>
            </a:ln>
            <a:effectLst/>
          </c:spPr>
          <c:marker>
            <c:symbol val="none"/>
          </c:marker>
          <c:val>
            <c:numRef>
              <c:f>Sheet1!$F$2:$F$67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3-4076-4C14-9D5D-1AA9284EB811}"/>
            </c:ext>
          </c:extLst>
        </c:ser>
        <c:dLbls>
          <c:showLegendKey val="0"/>
          <c:showVal val="0"/>
          <c:showCatName val="0"/>
          <c:showSerName val="0"/>
          <c:showPercent val="0"/>
          <c:showBubbleSize val="0"/>
        </c:dLbls>
        <c:smooth val="0"/>
        <c:axId val="-412816096"/>
        <c:axId val="-412812832"/>
      </c:lineChart>
      <c:catAx>
        <c:axId val="-412816096"/>
        <c:scaling>
          <c:orientation val="minMax"/>
        </c:scaling>
        <c:delete val="1"/>
        <c:axPos val="b"/>
        <c:numFmt formatCode="General" sourceLinked="1"/>
        <c:majorTickMark val="none"/>
        <c:minorTickMark val="none"/>
        <c:tickLblPos val="low"/>
        <c:crossAx val="-412812832"/>
        <c:crosses val="autoZero"/>
        <c:auto val="1"/>
        <c:lblAlgn val="ctr"/>
        <c:lblOffset val="100"/>
        <c:noMultiLvlLbl val="0"/>
      </c:catAx>
      <c:valAx>
        <c:axId val="-412812832"/>
        <c:scaling>
          <c:orientation val="minMax"/>
          <c:max val="21"/>
        </c:scaling>
        <c:delete val="1"/>
        <c:axPos val="l"/>
        <c:numFmt formatCode="General" sourceLinked="1"/>
        <c:majorTickMark val="none"/>
        <c:minorTickMark val="none"/>
        <c:tickLblPos val="nextTo"/>
        <c:crossAx val="-412816096"/>
        <c:crosses val="autoZero"/>
        <c:crossBetween val="between"/>
      </c:valAx>
      <c:spPr>
        <a:noFill/>
        <a:ln w="25400">
          <a:noFill/>
        </a:ln>
      </c:spPr>
    </c:plotArea>
    <c:legend>
      <c:legendPos val="b"/>
      <c:layout>
        <c:manualLayout>
          <c:xMode val="edge"/>
          <c:yMode val="edge"/>
          <c:x val="5.2930199264204017E-2"/>
          <c:y val="0.20734332189667515"/>
          <c:w val="0.9237377436699904"/>
          <c:h val="0.6045689038086540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0" i="0" baseline="0" dirty="0">
                <a:effectLst/>
                <a:latin typeface="GHEA Grapalat" panose="02000506050000020003" pitchFamily="50" charset="0"/>
              </a:rPr>
              <a:t>Նավթի</a:t>
            </a:r>
            <a:r>
              <a:rPr lang="hy-AM" sz="1000" b="0" i="0" u="none" strike="noStrike" kern="1200" spc="0" baseline="0" dirty="0">
                <a:solidFill>
                  <a:sysClr val="windowText" lastClr="000000">
                    <a:lumMod val="65000"/>
                    <a:lumOff val="35000"/>
                  </a:sysClr>
                </a:solidFill>
                <a:effectLst/>
                <a:latin typeface="GHEA Grapalat" panose="02000506050000020003" pitchFamily="50" charset="0"/>
                <a:ea typeface="+mn-ea"/>
                <a:cs typeface="+mn-cs"/>
              </a:rPr>
              <a:t> </a:t>
            </a:r>
            <a:r>
              <a:rPr lang="hy-AM" sz="1000" b="0" i="0" baseline="0" dirty="0">
                <a:effectLst/>
                <a:latin typeface="GHEA Grapalat" panose="02000506050000020003" pitchFamily="50" charset="0"/>
              </a:rPr>
              <a:t>և պղնձի միջազգային գներ</a:t>
            </a:r>
            <a:r>
              <a:rPr lang="ru-RU" sz="1000" b="0" i="0" baseline="0" dirty="0">
                <a:effectLst/>
                <a:latin typeface="GHEA Grapalat" panose="02000506050000020003" pitchFamily="50" charset="0"/>
              </a:rPr>
              <a:t>, </a:t>
            </a:r>
            <a:r>
              <a:rPr lang="hy-AM" sz="1000" b="0" i="0" baseline="0" dirty="0">
                <a:effectLst/>
                <a:latin typeface="GHEA Grapalat" panose="02000506050000020003" pitchFamily="50" charset="0"/>
              </a:rPr>
              <a:t>ԱՄՆ դոլար</a:t>
            </a:r>
            <a:endParaRPr lang="en-US" sz="1000" dirty="0">
              <a:effectLst/>
              <a:latin typeface="GHEA Grapalat" panose="02000506050000020003" pitchFamily="50" charset="0"/>
            </a:endParaRPr>
          </a:p>
        </c:rich>
      </c:tx>
      <c:layout>
        <c:manualLayout>
          <c:xMode val="edge"/>
          <c:yMode val="edge"/>
          <c:x val="0.12487980769230769"/>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4651095295780336"/>
          <c:y val="0.13848012850852659"/>
          <c:w val="0.75152937613567539"/>
          <c:h val="0.57736885697474394"/>
        </c:manualLayout>
      </c:layout>
      <c:lineChart>
        <c:grouping val="standard"/>
        <c:varyColors val="0"/>
        <c:ser>
          <c:idx val="1"/>
          <c:order val="1"/>
          <c:tx>
            <c:strRef>
              <c:f>Sheet1!$D$1</c:f>
              <c:strCache>
                <c:ptCount val="1"/>
                <c:pt idx="0">
                  <c:v>Պղինձ, դոլար/տոննա</c:v>
                </c:pt>
              </c:strCache>
            </c:strRef>
          </c:tx>
          <c:spPr>
            <a:ln w="31750" cap="rnd">
              <a:solidFill>
                <a:schemeClr val="accent1">
                  <a:lumMod val="50000"/>
                </a:schemeClr>
              </a:solidFill>
              <a:round/>
            </a:ln>
            <a:effectLst/>
          </c:spPr>
          <c:marker>
            <c:symbol val="none"/>
          </c:marker>
          <c:cat>
            <c:multiLvlStrRef>
              <c:f>Sheet1!$A$14:$B$103</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Sheet1!$D$14:$D$103</c:f>
              <c:numCache>
                <c:formatCode>0</c:formatCode>
                <c:ptCount val="54"/>
                <c:pt idx="0">
                  <c:v>9782.34</c:v>
                </c:pt>
                <c:pt idx="1">
                  <c:v>9943.17</c:v>
                </c:pt>
                <c:pt idx="2">
                  <c:v>10230.89</c:v>
                </c:pt>
                <c:pt idx="3">
                  <c:v>10161.379999999999</c:v>
                </c:pt>
                <c:pt idx="4">
                  <c:v>9377.15</c:v>
                </c:pt>
                <c:pt idx="5">
                  <c:v>9024.4599999999991</c:v>
                </c:pt>
                <c:pt idx="6">
                  <c:v>7544.81</c:v>
                </c:pt>
                <c:pt idx="7">
                  <c:v>7981.84</c:v>
                </c:pt>
                <c:pt idx="8">
                  <c:v>7746.01</c:v>
                </c:pt>
                <c:pt idx="9">
                  <c:v>7651.08</c:v>
                </c:pt>
                <c:pt idx="10">
                  <c:v>8049.86</c:v>
                </c:pt>
                <c:pt idx="11">
                  <c:v>8375.4</c:v>
                </c:pt>
                <c:pt idx="12">
                  <c:v>9037.9500000000007</c:v>
                </c:pt>
                <c:pt idx="13">
                  <c:v>8936.59</c:v>
                </c:pt>
                <c:pt idx="14">
                  <c:v>8856.31</c:v>
                </c:pt>
                <c:pt idx="15">
                  <c:v>8809.42</c:v>
                </c:pt>
                <c:pt idx="16">
                  <c:v>8217.4699999999993</c:v>
                </c:pt>
                <c:pt idx="17">
                  <c:v>8396.52</c:v>
                </c:pt>
                <c:pt idx="18">
                  <c:v>8476.68</c:v>
                </c:pt>
                <c:pt idx="19">
                  <c:v>8349.1299999999992</c:v>
                </c:pt>
                <c:pt idx="20">
                  <c:v>8276.7099999999991</c:v>
                </c:pt>
                <c:pt idx="21">
                  <c:v>7937.18</c:v>
                </c:pt>
                <c:pt idx="22">
                  <c:v>8189.59</c:v>
                </c:pt>
                <c:pt idx="23">
                  <c:v>8399.94</c:v>
                </c:pt>
                <c:pt idx="24">
                  <c:v>8338.8799999999992</c:v>
                </c:pt>
                <c:pt idx="25">
                  <c:v>8304.9500000000007</c:v>
                </c:pt>
                <c:pt idx="26">
                  <c:v>8689.1299999999992</c:v>
                </c:pt>
                <c:pt idx="27">
                  <c:v>9464.43</c:v>
                </c:pt>
                <c:pt idx="28">
                  <c:v>10139.33</c:v>
                </c:pt>
                <c:pt idx="29">
                  <c:v>9648.17</c:v>
                </c:pt>
                <c:pt idx="30">
                  <c:v>9385.31</c:v>
                </c:pt>
                <c:pt idx="31">
                  <c:v>8971.9599999999991</c:v>
                </c:pt>
                <c:pt idx="32">
                  <c:v>9237.48</c:v>
                </c:pt>
                <c:pt idx="33">
                  <c:v>9533.99</c:v>
                </c:pt>
                <c:pt idx="34">
                  <c:v>9075.73</c:v>
                </c:pt>
                <c:pt idx="35">
                  <c:v>8916.32</c:v>
                </c:pt>
                <c:pt idx="36">
                  <c:v>8991.41</c:v>
                </c:pt>
                <c:pt idx="37">
                  <c:v>9330.6</c:v>
                </c:pt>
                <c:pt idx="38">
                  <c:v>9739.68</c:v>
                </c:pt>
                <c:pt idx="39">
                  <c:v>9176.7999999999993</c:v>
                </c:pt>
                <c:pt idx="40">
                  <c:v>9532.98</c:v>
                </c:pt>
                <c:pt idx="41">
                  <c:v>9835.07</c:v>
                </c:pt>
                <c:pt idx="42">
                  <c:v>9770.58</c:v>
                </c:pt>
                <c:pt idx="43">
                  <c:v>9669.56</c:v>
                </c:pt>
                <c:pt idx="44">
                  <c:v>9983.7900000000009</c:v>
                </c:pt>
                <c:pt idx="45">
                  <c:v>10739.91</c:v>
                </c:pt>
                <c:pt idx="46">
                  <c:v>10812.03</c:v>
                </c:pt>
                <c:pt idx="47">
                  <c:v>11785.25</c:v>
                </c:pt>
                <c:pt idx="48">
                  <c:v>13012</c:v>
                </c:pt>
                <c:pt idx="49">
                  <c:v>12951.35</c:v>
                </c:pt>
                <c:pt idx="50">
                  <c:v>12528.71</c:v>
                </c:pt>
                <c:pt idx="51" formatCode="General">
                  <c:v>12951</c:v>
                </c:pt>
                <c:pt idx="52" formatCode="General">
                  <c:v>13543</c:v>
                </c:pt>
                <c:pt idx="53" formatCode="General">
                  <c:v>13552</c:v>
                </c:pt>
              </c:numCache>
            </c:numRef>
          </c:val>
          <c:smooth val="0"/>
          <c:extLst>
            <c:ext xmlns:c16="http://schemas.microsoft.com/office/drawing/2014/chart" uri="{C3380CC4-5D6E-409C-BE32-E72D297353CC}">
              <c16:uniqueId val="{00000000-6807-4FDA-A6D5-8216814E9866}"/>
            </c:ext>
          </c:extLst>
        </c:ser>
        <c:dLbls>
          <c:showLegendKey val="0"/>
          <c:showVal val="0"/>
          <c:showCatName val="0"/>
          <c:showSerName val="0"/>
          <c:showPercent val="0"/>
          <c:showBubbleSize val="0"/>
        </c:dLbls>
        <c:marker val="1"/>
        <c:smooth val="0"/>
        <c:axId val="-412815552"/>
        <c:axId val="-412814464"/>
      </c:lineChart>
      <c:lineChart>
        <c:grouping val="standard"/>
        <c:varyColors val="0"/>
        <c:ser>
          <c:idx val="0"/>
          <c:order val="0"/>
          <c:tx>
            <c:strRef>
              <c:f>Sheet1!$C$1</c:f>
              <c:strCache>
                <c:ptCount val="1"/>
                <c:pt idx="0">
                  <c:v>Նավթ, դոլար/բարել, աջ առանցք</c:v>
                </c:pt>
              </c:strCache>
            </c:strRef>
          </c:tx>
          <c:spPr>
            <a:ln w="31750" cap="rnd">
              <a:solidFill>
                <a:schemeClr val="accent2">
                  <a:lumMod val="60000"/>
                  <a:lumOff val="40000"/>
                </a:schemeClr>
              </a:solidFill>
              <a:round/>
            </a:ln>
            <a:effectLst/>
          </c:spPr>
          <c:marker>
            <c:symbol val="none"/>
          </c:marker>
          <c:cat>
            <c:multiLvlStrRef>
              <c:f>Sheet1!$A$14:$B$103</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Sheet1!$C$14:$C$103</c:f>
              <c:numCache>
                <c:formatCode>0</c:formatCode>
                <c:ptCount val="54"/>
                <c:pt idx="0">
                  <c:v>85.53</c:v>
                </c:pt>
                <c:pt idx="1">
                  <c:v>95.76</c:v>
                </c:pt>
                <c:pt idx="2">
                  <c:v>115.59</c:v>
                </c:pt>
                <c:pt idx="3">
                  <c:v>105.78</c:v>
                </c:pt>
                <c:pt idx="4">
                  <c:v>112.37</c:v>
                </c:pt>
                <c:pt idx="5">
                  <c:v>120.08</c:v>
                </c:pt>
                <c:pt idx="6">
                  <c:v>108.92</c:v>
                </c:pt>
                <c:pt idx="7">
                  <c:v>98.6</c:v>
                </c:pt>
                <c:pt idx="8">
                  <c:v>90.16</c:v>
                </c:pt>
                <c:pt idx="9">
                  <c:v>93.13</c:v>
                </c:pt>
                <c:pt idx="10">
                  <c:v>91.07</c:v>
                </c:pt>
                <c:pt idx="11">
                  <c:v>80.900000000000006</c:v>
                </c:pt>
                <c:pt idx="12">
                  <c:v>83.09</c:v>
                </c:pt>
                <c:pt idx="13">
                  <c:v>82.71</c:v>
                </c:pt>
                <c:pt idx="14">
                  <c:v>78.53</c:v>
                </c:pt>
                <c:pt idx="15">
                  <c:v>84.11</c:v>
                </c:pt>
                <c:pt idx="16">
                  <c:v>75.7</c:v>
                </c:pt>
                <c:pt idx="17">
                  <c:v>74.89</c:v>
                </c:pt>
                <c:pt idx="18">
                  <c:v>80.099999999999994</c:v>
                </c:pt>
                <c:pt idx="19">
                  <c:v>86.162999999999997</c:v>
                </c:pt>
                <c:pt idx="20">
                  <c:v>94</c:v>
                </c:pt>
                <c:pt idx="21">
                  <c:v>91.061000000000007</c:v>
                </c:pt>
                <c:pt idx="22">
                  <c:v>83.183000000000007</c:v>
                </c:pt>
                <c:pt idx="23">
                  <c:v>77.858000000000004</c:v>
                </c:pt>
                <c:pt idx="24">
                  <c:v>80.227000000000004</c:v>
                </c:pt>
                <c:pt idx="25">
                  <c:v>83.763999999999996</c:v>
                </c:pt>
                <c:pt idx="26">
                  <c:v>85.447000000000003</c:v>
                </c:pt>
                <c:pt idx="27">
                  <c:v>90.054000000000002</c:v>
                </c:pt>
                <c:pt idx="28">
                  <c:v>81.995000000000005</c:v>
                </c:pt>
                <c:pt idx="29">
                  <c:v>82.555000000000007</c:v>
                </c:pt>
                <c:pt idx="30">
                  <c:v>85.296000000000006</c:v>
                </c:pt>
                <c:pt idx="31">
                  <c:v>80.863</c:v>
                </c:pt>
                <c:pt idx="32">
                  <c:v>74.293000000000006</c:v>
                </c:pt>
                <c:pt idx="33">
                  <c:v>75.662000000000006</c:v>
                </c:pt>
                <c:pt idx="34">
                  <c:v>74.394999999999996</c:v>
                </c:pt>
                <c:pt idx="35">
                  <c:v>73.832999999999998</c:v>
                </c:pt>
                <c:pt idx="36">
                  <c:v>79.206000000000003</c:v>
                </c:pt>
                <c:pt idx="37">
                  <c:v>75.156999999999996</c:v>
                </c:pt>
                <c:pt idx="38">
                  <c:v>72.573999999999998</c:v>
                </c:pt>
                <c:pt idx="39">
                  <c:v>67.745000000000005</c:v>
                </c:pt>
                <c:pt idx="40">
                  <c:v>64.206000000000003</c:v>
                </c:pt>
                <c:pt idx="41">
                  <c:v>71.45</c:v>
                </c:pt>
                <c:pt idx="42">
                  <c:v>70.950999999999993</c:v>
                </c:pt>
                <c:pt idx="43">
                  <c:v>68.203000000000003</c:v>
                </c:pt>
                <c:pt idx="44">
                  <c:v>67.950999999999993</c:v>
                </c:pt>
                <c:pt idx="45">
                  <c:v>64.650999999999996</c:v>
                </c:pt>
                <c:pt idx="46">
                  <c:v>63.609000000000002</c:v>
                </c:pt>
                <c:pt idx="47">
                  <c:v>62.72</c:v>
                </c:pt>
                <c:pt idx="48">
                  <c:v>66.766000000000005</c:v>
                </c:pt>
                <c:pt idx="49">
                  <c:v>71.114000000000004</c:v>
                </c:pt>
                <c:pt idx="50">
                  <c:v>103.68899999999999</c:v>
                </c:pt>
                <c:pt idx="51">
                  <c:v>120.4</c:v>
                </c:pt>
                <c:pt idx="52">
                  <c:v>107.5</c:v>
                </c:pt>
                <c:pt idx="53">
                  <c:v>85.4</c:v>
                </c:pt>
              </c:numCache>
            </c:numRef>
          </c:val>
          <c:smooth val="0"/>
          <c:extLst>
            <c:ext xmlns:c16="http://schemas.microsoft.com/office/drawing/2014/chart" uri="{C3380CC4-5D6E-409C-BE32-E72D297353CC}">
              <c16:uniqueId val="{00000001-6807-4FDA-A6D5-8216814E9866}"/>
            </c:ext>
          </c:extLst>
        </c:ser>
        <c:dLbls>
          <c:showLegendKey val="0"/>
          <c:showVal val="0"/>
          <c:showCatName val="0"/>
          <c:showSerName val="0"/>
          <c:showPercent val="0"/>
          <c:showBubbleSize val="0"/>
        </c:dLbls>
        <c:marker val="1"/>
        <c:smooth val="0"/>
        <c:axId val="-412813376"/>
        <c:axId val="-412815008"/>
      </c:lineChart>
      <c:catAx>
        <c:axId val="-412815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12814464"/>
        <c:crosses val="autoZero"/>
        <c:auto val="1"/>
        <c:lblAlgn val="ctr"/>
        <c:lblOffset val="0"/>
        <c:noMultiLvlLbl val="0"/>
      </c:catAx>
      <c:valAx>
        <c:axId val="-412814464"/>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12815552"/>
        <c:crosses val="autoZero"/>
        <c:crossBetween val="between"/>
        <c:majorUnit val="5000"/>
      </c:valAx>
      <c:valAx>
        <c:axId val="-412815008"/>
        <c:scaling>
          <c:orientation val="minMax"/>
          <c:max val="15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12813376"/>
        <c:crosses val="max"/>
        <c:crossBetween val="between"/>
        <c:majorUnit val="50"/>
      </c:valAx>
      <c:catAx>
        <c:axId val="-412813376"/>
        <c:scaling>
          <c:orientation val="minMax"/>
        </c:scaling>
        <c:delete val="1"/>
        <c:axPos val="b"/>
        <c:numFmt formatCode="General" sourceLinked="1"/>
        <c:majorTickMark val="out"/>
        <c:minorTickMark val="none"/>
        <c:tickLblPos val="nextTo"/>
        <c:crossAx val="-412815008"/>
        <c:crosses val="autoZero"/>
        <c:auto val="1"/>
        <c:lblAlgn val="ctr"/>
        <c:lblOffset val="100"/>
        <c:noMultiLvlLbl val="0"/>
      </c:catAx>
      <c:spPr>
        <a:noFill/>
        <a:ln>
          <a:noFill/>
        </a:ln>
        <a:effectLst/>
      </c:spPr>
    </c:plotArea>
    <c:legend>
      <c:legendPos val="b"/>
      <c:layout>
        <c:manualLayout>
          <c:xMode val="edge"/>
          <c:yMode val="edge"/>
          <c:x val="1.5087732860998498E-2"/>
          <c:y val="0.88509783492675009"/>
          <c:w val="0.97829235665236636"/>
          <c:h val="0.110029344856405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hy-AM" sz="1000" dirty="0">
                <a:latin typeface="GHEA Grapalat" panose="02000506050000020003" pitchFamily="50" charset="0"/>
              </a:rPr>
              <a:t>Պարենի</a:t>
            </a:r>
            <a:r>
              <a:rPr lang="hy-AM" sz="1000" baseline="0" dirty="0">
                <a:latin typeface="GHEA Grapalat" panose="02000506050000020003" pitchFamily="50" charset="0"/>
              </a:rPr>
              <a:t> միջազգային գներ</a:t>
            </a:r>
            <a:endParaRPr lang="en-US" sz="1000" dirty="0">
              <a:latin typeface="GHEA Grapalat" panose="02000506050000020003" pitchFamily="50" charset="0"/>
            </a:endParaRPr>
          </a:p>
        </c:rich>
      </c:tx>
      <c:layout>
        <c:manualLayout>
          <c:xMode val="edge"/>
          <c:yMode val="edge"/>
          <c:x val="0.27089836027161202"/>
          <c:y val="9.1074681238615673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885866638027966"/>
          <c:y val="0.13275569037476873"/>
          <c:w val="0.80339904545830076"/>
          <c:h val="0.55811286089238843"/>
        </c:manualLayout>
      </c:layout>
      <c:lineChart>
        <c:grouping val="standard"/>
        <c:varyColors val="0"/>
        <c:ser>
          <c:idx val="0"/>
          <c:order val="0"/>
          <c:tx>
            <c:strRef>
              <c:f>Sheet1!$D$1</c:f>
              <c:strCache>
                <c:ptCount val="1"/>
                <c:pt idx="0">
                  <c:v>Միս</c:v>
                </c:pt>
              </c:strCache>
            </c:strRef>
          </c:tx>
          <c:spPr>
            <a:ln w="12700" cap="rnd">
              <a:solidFill>
                <a:schemeClr val="accent6">
                  <a:lumMod val="60000"/>
                  <a:lumOff val="40000"/>
                </a:schemeClr>
              </a:solidFill>
              <a:round/>
            </a:ln>
            <a:effectLst/>
          </c:spPr>
          <c:marker>
            <c:symbol val="none"/>
          </c:marker>
          <c:cat>
            <c:multiLvlStrRef>
              <c:f>Sheet1!$A$2:$B$91</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Sheet1!$D$2:$D$91</c:f>
              <c:numCache>
                <c:formatCode>0.0</c:formatCode>
                <c:ptCount val="54"/>
                <c:pt idx="0">
                  <c:v>100</c:v>
                </c:pt>
                <c:pt idx="1">
                  <c:v>101.76655212124066</c:v>
                </c:pt>
                <c:pt idx="2">
                  <c:v>106.73282836632764</c:v>
                </c:pt>
                <c:pt idx="3">
                  <c:v>108.5456592212235</c:v>
                </c:pt>
                <c:pt idx="4">
                  <c:v>109.58100305985025</c:v>
                </c:pt>
                <c:pt idx="5">
                  <c:v>112.24506324646408</c:v>
                </c:pt>
                <c:pt idx="6">
                  <c:v>110.35180265586216</c:v>
                </c:pt>
                <c:pt idx="7">
                  <c:v>107.68700649479403</c:v>
                </c:pt>
                <c:pt idx="8">
                  <c:v>107.29532250076932</c:v>
                </c:pt>
                <c:pt idx="9">
                  <c:v>104.24626045307552</c:v>
                </c:pt>
                <c:pt idx="10">
                  <c:v>102.15147309323336</c:v>
                </c:pt>
                <c:pt idx="11">
                  <c:v>100.16936857734797</c:v>
                </c:pt>
                <c:pt idx="12">
                  <c:v>98.897312583079326</c:v>
                </c:pt>
                <c:pt idx="13">
                  <c:v>100.36077838957245</c:v>
                </c:pt>
                <c:pt idx="14">
                  <c:v>102.0679954787003</c:v>
                </c:pt>
                <c:pt idx="15">
                  <c:v>103.82140972755239</c:v>
                </c:pt>
                <c:pt idx="16">
                  <c:v>105.04805833672091</c:v>
                </c:pt>
                <c:pt idx="17">
                  <c:v>106.15790346209999</c:v>
                </c:pt>
                <c:pt idx="18">
                  <c:v>105.48855298460236</c:v>
                </c:pt>
                <c:pt idx="19">
                  <c:v>102.50669017208004</c:v>
                </c:pt>
                <c:pt idx="20">
                  <c:v>101.50927689927522</c:v>
                </c:pt>
                <c:pt idx="21">
                  <c:v>100.22483814889245</c:v>
                </c:pt>
                <c:pt idx="22">
                  <c:v>99.827109323657425</c:v>
                </c:pt>
                <c:pt idx="23">
                  <c:v>99.469915515947875</c:v>
                </c:pt>
                <c:pt idx="24">
                  <c:v>97.421409138739477</c:v>
                </c:pt>
                <c:pt idx="25">
                  <c:v>100.71031716527379</c:v>
                </c:pt>
                <c:pt idx="26">
                  <c:v>102.83528823097647</c:v>
                </c:pt>
                <c:pt idx="27">
                  <c:v>104.32097885008274</c:v>
                </c:pt>
                <c:pt idx="28">
                  <c:v>104.41134897075666</c:v>
                </c:pt>
                <c:pt idx="29">
                  <c:v>105.6701291311001</c:v>
                </c:pt>
                <c:pt idx="30">
                  <c:v>107.39057250850144</c:v>
                </c:pt>
                <c:pt idx="31">
                  <c:v>109.19657523109518</c:v>
                </c:pt>
                <c:pt idx="32">
                  <c:v>107.28622754132796</c:v>
                </c:pt>
                <c:pt idx="33">
                  <c:v>106.70307792234357</c:v>
                </c:pt>
                <c:pt idx="34">
                  <c:v>106.25598200945183</c:v>
                </c:pt>
                <c:pt idx="35">
                  <c:v>107.01077644535704</c:v>
                </c:pt>
                <c:pt idx="36">
                  <c:v>104.31531780427012</c:v>
                </c:pt>
                <c:pt idx="37">
                  <c:v>104.57662387558723</c:v>
                </c:pt>
                <c:pt idx="38">
                  <c:v>105.87812024204364</c:v>
                </c:pt>
                <c:pt idx="39">
                  <c:v>108.84940571235015</c:v>
                </c:pt>
                <c:pt idx="40">
                  <c:v>109.86336413825381</c:v>
                </c:pt>
                <c:pt idx="41">
                  <c:v>112.72811266269892</c:v>
                </c:pt>
                <c:pt idx="42">
                  <c:v>113.31839332935454</c:v>
                </c:pt>
                <c:pt idx="43">
                  <c:v>114.39376384062992</c:v>
                </c:pt>
                <c:pt idx="44">
                  <c:v>114.42788770498561</c:v>
                </c:pt>
                <c:pt idx="45">
                  <c:v>111.84483527272634</c:v>
                </c:pt>
                <c:pt idx="46">
                  <c:v>112.30257557968422</c:v>
                </c:pt>
                <c:pt idx="47">
                  <c:v>111.65261398076682</c:v>
                </c:pt>
                <c:pt idx="48">
                  <c:v>111.79366780871734</c:v>
                </c:pt>
                <c:pt idx="49">
                  <c:v>113.22564773484653</c:v>
                </c:pt>
                <c:pt idx="50">
                  <c:v>114.57642292661198</c:v>
                </c:pt>
                <c:pt idx="51">
                  <c:v>116.67010044198661</c:v>
                </c:pt>
                <c:pt idx="52">
                  <c:v>116.77232688447333</c:v>
                </c:pt>
                <c:pt idx="53">
                  <c:v>117.19842975277638</c:v>
                </c:pt>
              </c:numCache>
            </c:numRef>
          </c:val>
          <c:smooth val="0"/>
          <c:extLst>
            <c:ext xmlns:c16="http://schemas.microsoft.com/office/drawing/2014/chart" uri="{C3380CC4-5D6E-409C-BE32-E72D297353CC}">
              <c16:uniqueId val="{00000000-421D-4631-9871-CBB2621C75F4}"/>
            </c:ext>
          </c:extLst>
        </c:ser>
        <c:ser>
          <c:idx val="1"/>
          <c:order val="1"/>
          <c:tx>
            <c:strRef>
              <c:f>Sheet1!$E$1</c:f>
              <c:strCache>
                <c:ptCount val="1"/>
                <c:pt idx="0">
                  <c:v>Կաթնամթերք</c:v>
                </c:pt>
              </c:strCache>
            </c:strRef>
          </c:tx>
          <c:spPr>
            <a:ln w="15875" cap="rnd">
              <a:solidFill>
                <a:schemeClr val="accent1"/>
              </a:solidFill>
              <a:round/>
            </a:ln>
            <a:effectLst/>
          </c:spPr>
          <c:marker>
            <c:symbol val="none"/>
          </c:marker>
          <c:cat>
            <c:multiLvlStrRef>
              <c:f>Sheet1!$A$2:$B$91</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Sheet1!$E$2:$E$91</c:f>
              <c:numCache>
                <c:formatCode>0.0</c:formatCode>
                <c:ptCount val="54"/>
                <c:pt idx="0">
                  <c:v>100</c:v>
                </c:pt>
                <c:pt idx="1">
                  <c:v>107.93343701079377</c:v>
                </c:pt>
                <c:pt idx="2">
                  <c:v>111.37101549892742</c:v>
                </c:pt>
                <c:pt idx="3">
                  <c:v>112.21235333441949</c:v>
                </c:pt>
                <c:pt idx="4">
                  <c:v>111.47130221990376</c:v>
                </c:pt>
                <c:pt idx="5">
                  <c:v>117.74234546259437</c:v>
                </c:pt>
                <c:pt idx="6">
                  <c:v>115.82299641526232</c:v>
                </c:pt>
                <c:pt idx="7">
                  <c:v>113.95801646294902</c:v>
                </c:pt>
                <c:pt idx="8">
                  <c:v>113.73916320301414</c:v>
                </c:pt>
                <c:pt idx="9">
                  <c:v>111.08835561705196</c:v>
                </c:pt>
                <c:pt idx="10">
                  <c:v>109.7023250546395</c:v>
                </c:pt>
                <c:pt idx="11">
                  <c:v>110.60909711574892</c:v>
                </c:pt>
                <c:pt idx="12">
                  <c:v>107.75351824089435</c:v>
                </c:pt>
                <c:pt idx="13">
                  <c:v>103.22713335737558</c:v>
                </c:pt>
                <c:pt idx="14">
                  <c:v>100.71622705727384</c:v>
                </c:pt>
                <c:pt idx="15">
                  <c:v>96.22815240653658</c:v>
                </c:pt>
                <c:pt idx="16">
                  <c:v>90.610258424986043</c:v>
                </c:pt>
                <c:pt idx="17">
                  <c:v>89.245339622413027</c:v>
                </c:pt>
                <c:pt idx="18">
                  <c:v>88.674116926944151</c:v>
                </c:pt>
                <c:pt idx="19">
                  <c:v>85.128452432081488</c:v>
                </c:pt>
                <c:pt idx="20">
                  <c:v>83.354173950373536</c:v>
                </c:pt>
                <c:pt idx="21">
                  <c:v>85.294471235732146</c:v>
                </c:pt>
                <c:pt idx="22">
                  <c:v>86.696888576121566</c:v>
                </c:pt>
                <c:pt idx="23">
                  <c:v>88.363285001678094</c:v>
                </c:pt>
                <c:pt idx="24">
                  <c:v>88.357967787238479</c:v>
                </c:pt>
                <c:pt idx="25">
                  <c:v>89.853391092468115</c:v>
                </c:pt>
                <c:pt idx="26">
                  <c:v>92.341901621132635</c:v>
                </c:pt>
                <c:pt idx="27">
                  <c:v>92.138491913383362</c:v>
                </c:pt>
                <c:pt idx="28">
                  <c:v>94.008178184251975</c:v>
                </c:pt>
                <c:pt idx="29">
                  <c:v>95.185024711896318</c:v>
                </c:pt>
                <c:pt idx="30">
                  <c:v>95.160242032620147</c:v>
                </c:pt>
                <c:pt idx="31">
                  <c:v>97.777747647873369</c:v>
                </c:pt>
                <c:pt idx="32">
                  <c:v>101.63268863441409</c:v>
                </c:pt>
                <c:pt idx="33">
                  <c:v>103.16031065292762</c:v>
                </c:pt>
                <c:pt idx="34">
                  <c:v>104.0911836340335</c:v>
                </c:pt>
                <c:pt idx="35">
                  <c:v>105.08221646261531</c:v>
                </c:pt>
                <c:pt idx="36">
                  <c:v>106.50196082771296</c:v>
                </c:pt>
                <c:pt idx="37">
                  <c:v>109.94668430789653</c:v>
                </c:pt>
                <c:pt idx="38">
                  <c:v>110.72819310699913</c:v>
                </c:pt>
                <c:pt idx="39">
                  <c:v>112.95034381145443</c:v>
                </c:pt>
                <c:pt idx="40">
                  <c:v>114.36807892497244</c:v>
                </c:pt>
                <c:pt idx="41">
                  <c:v>115.76139250847181</c:v>
                </c:pt>
                <c:pt idx="42">
                  <c:v>115.06319029259819</c:v>
                </c:pt>
                <c:pt idx="43">
                  <c:v>113.33516347808104</c:v>
                </c:pt>
                <c:pt idx="44">
                  <c:v>109.54819005264268</c:v>
                </c:pt>
                <c:pt idx="45">
                  <c:v>105.51204640324012</c:v>
                </c:pt>
                <c:pt idx="46">
                  <c:v>101.42529880168996</c:v>
                </c:pt>
                <c:pt idx="47">
                  <c:v>95.40808223683571</c:v>
                </c:pt>
                <c:pt idx="48">
                  <c:v>89.864243943933758</c:v>
                </c:pt>
                <c:pt idx="49">
                  <c:v>88.916429551753936</c:v>
                </c:pt>
                <c:pt idx="50">
                  <c:v>90.210180528241565</c:v>
                </c:pt>
                <c:pt idx="51">
                  <c:v>89.116394902379682</c:v>
                </c:pt>
                <c:pt idx="52">
                  <c:v>88.709187434344955</c:v>
                </c:pt>
                <c:pt idx="53">
                  <c:v>87.41111350748406</c:v>
                </c:pt>
              </c:numCache>
            </c:numRef>
          </c:val>
          <c:smooth val="0"/>
          <c:extLst>
            <c:ext xmlns:c16="http://schemas.microsoft.com/office/drawing/2014/chart" uri="{C3380CC4-5D6E-409C-BE32-E72D297353CC}">
              <c16:uniqueId val="{00000001-421D-4631-9871-CBB2621C75F4}"/>
            </c:ext>
          </c:extLst>
        </c:ser>
        <c:ser>
          <c:idx val="2"/>
          <c:order val="2"/>
          <c:tx>
            <c:strRef>
              <c:f>Sheet1!$F$1</c:f>
              <c:strCache>
                <c:ptCount val="1"/>
                <c:pt idx="0">
                  <c:v>Հացահատիկ</c:v>
                </c:pt>
              </c:strCache>
            </c:strRef>
          </c:tx>
          <c:spPr>
            <a:ln w="12700" cap="rnd">
              <a:solidFill>
                <a:srgbClr val="8B53AD"/>
              </a:solidFill>
              <a:round/>
            </a:ln>
            <a:effectLst/>
          </c:spPr>
          <c:marker>
            <c:symbol val="none"/>
          </c:marker>
          <c:cat>
            <c:multiLvlStrRef>
              <c:f>Sheet1!$A$2:$B$91</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Sheet1!$F$2:$F$91</c:f>
              <c:numCache>
                <c:formatCode>0.0</c:formatCode>
                <c:ptCount val="54"/>
                <c:pt idx="0">
                  <c:v>100</c:v>
                </c:pt>
                <c:pt idx="1">
                  <c:v>103.29238075666508</c:v>
                </c:pt>
                <c:pt idx="2">
                  <c:v>120.96280150352655</c:v>
                </c:pt>
                <c:pt idx="3">
                  <c:v>120.63842616184965</c:v>
                </c:pt>
                <c:pt idx="4">
                  <c:v>123.37267978054409</c:v>
                </c:pt>
                <c:pt idx="5">
                  <c:v>118.2647427165451</c:v>
                </c:pt>
                <c:pt idx="6">
                  <c:v>104.69899485098557</c:v>
                </c:pt>
                <c:pt idx="7">
                  <c:v>103.50372606151159</c:v>
                </c:pt>
                <c:pt idx="8">
                  <c:v>105.16713637909706</c:v>
                </c:pt>
                <c:pt idx="9">
                  <c:v>108.27177308533838</c:v>
                </c:pt>
                <c:pt idx="10">
                  <c:v>106.72673538277786</c:v>
                </c:pt>
                <c:pt idx="11">
                  <c:v>104.69711245606808</c:v>
                </c:pt>
                <c:pt idx="12">
                  <c:v>104.8664340150965</c:v>
                </c:pt>
                <c:pt idx="13">
                  <c:v>104.31446949725563</c:v>
                </c:pt>
                <c:pt idx="14">
                  <c:v>98.51168136499011</c:v>
                </c:pt>
                <c:pt idx="15">
                  <c:v>96.795576629619148</c:v>
                </c:pt>
                <c:pt idx="16">
                  <c:v>91.911401947539503</c:v>
                </c:pt>
                <c:pt idx="17">
                  <c:v>90.013921657764101</c:v>
                </c:pt>
                <c:pt idx="18">
                  <c:v>89.486055867400779</c:v>
                </c:pt>
                <c:pt idx="19">
                  <c:v>88.869661495231924</c:v>
                </c:pt>
                <c:pt idx="20">
                  <c:v>89.793615191453341</c:v>
                </c:pt>
                <c:pt idx="21">
                  <c:v>88.711422011037754</c:v>
                </c:pt>
                <c:pt idx="22">
                  <c:v>86.06088882138576</c:v>
                </c:pt>
                <c:pt idx="23">
                  <c:v>87.311286255304722</c:v>
                </c:pt>
                <c:pt idx="24">
                  <c:v>85.246711344599191</c:v>
                </c:pt>
                <c:pt idx="25">
                  <c:v>80.942965154587924</c:v>
                </c:pt>
                <c:pt idx="26">
                  <c:v>78.84466089902935</c:v>
                </c:pt>
                <c:pt idx="27">
                  <c:v>79.358648846249494</c:v>
                </c:pt>
                <c:pt idx="28">
                  <c:v>84.377377493362602</c:v>
                </c:pt>
                <c:pt idx="29">
                  <c:v>81.881985321902661</c:v>
                </c:pt>
                <c:pt idx="30">
                  <c:v>78.695084817730816</c:v>
                </c:pt>
                <c:pt idx="31">
                  <c:v>78.318585902617968</c:v>
                </c:pt>
                <c:pt idx="32">
                  <c:v>80.736813441832325</c:v>
                </c:pt>
                <c:pt idx="33">
                  <c:v>81.371400898071968</c:v>
                </c:pt>
                <c:pt idx="34">
                  <c:v>79.214590812476757</c:v>
                </c:pt>
                <c:pt idx="35">
                  <c:v>79.191128466245814</c:v>
                </c:pt>
                <c:pt idx="36">
                  <c:v>79.52062340054448</c:v>
                </c:pt>
                <c:pt idx="37">
                  <c:v>80.06479486920783</c:v>
                </c:pt>
                <c:pt idx="38">
                  <c:v>77.991771572880978</c:v>
                </c:pt>
                <c:pt idx="39">
                  <c:v>78.857157902687504</c:v>
                </c:pt>
                <c:pt idx="40">
                  <c:v>77.475645390750827</c:v>
                </c:pt>
                <c:pt idx="41">
                  <c:v>76.266666016810717</c:v>
                </c:pt>
                <c:pt idx="42">
                  <c:v>75.69040726109651</c:v>
                </c:pt>
                <c:pt idx="43">
                  <c:v>75.114497411164152</c:v>
                </c:pt>
                <c:pt idx="44">
                  <c:v>74.503939935825755</c:v>
                </c:pt>
                <c:pt idx="45">
                  <c:v>73.781487940459087</c:v>
                </c:pt>
                <c:pt idx="46">
                  <c:v>75.064512281062392</c:v>
                </c:pt>
                <c:pt idx="47">
                  <c:v>76.239424209897834</c:v>
                </c:pt>
                <c:pt idx="48">
                  <c:v>76.416301743299584</c:v>
                </c:pt>
                <c:pt idx="49">
                  <c:v>77.280513492045429</c:v>
                </c:pt>
                <c:pt idx="50">
                  <c:v>78.508463945902236</c:v>
                </c:pt>
                <c:pt idx="51">
                  <c:v>79.150146451746323</c:v>
                </c:pt>
                <c:pt idx="52">
                  <c:v>81.172643548416787</c:v>
                </c:pt>
                <c:pt idx="53">
                  <c:v>78.362560774355316</c:v>
                </c:pt>
              </c:numCache>
            </c:numRef>
          </c:val>
          <c:smooth val="0"/>
          <c:extLst>
            <c:ext xmlns:c16="http://schemas.microsoft.com/office/drawing/2014/chart" uri="{C3380CC4-5D6E-409C-BE32-E72D297353CC}">
              <c16:uniqueId val="{00000002-421D-4631-9871-CBB2621C75F4}"/>
            </c:ext>
          </c:extLst>
        </c:ser>
        <c:ser>
          <c:idx val="3"/>
          <c:order val="3"/>
          <c:tx>
            <c:strRef>
              <c:f>Sheet1!$G$1</c:f>
              <c:strCache>
                <c:ptCount val="1"/>
                <c:pt idx="0">
                  <c:v>Բուսական յուղեր</c:v>
                </c:pt>
              </c:strCache>
            </c:strRef>
          </c:tx>
          <c:spPr>
            <a:ln w="12700" cap="rnd">
              <a:solidFill>
                <a:srgbClr val="30BCD8"/>
              </a:solidFill>
              <a:round/>
            </a:ln>
            <a:effectLst/>
          </c:spPr>
          <c:marker>
            <c:symbol val="none"/>
          </c:marker>
          <c:cat>
            <c:multiLvlStrRef>
              <c:f>Sheet1!$A$2:$B$91</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Sheet1!$G$2:$G$91</c:f>
              <c:numCache>
                <c:formatCode>0.0</c:formatCode>
                <c:ptCount val="54"/>
                <c:pt idx="0">
                  <c:v>100</c:v>
                </c:pt>
                <c:pt idx="1">
                  <c:v>108.49035180645558</c:v>
                </c:pt>
                <c:pt idx="2">
                  <c:v>135.44308003889526</c:v>
                </c:pt>
                <c:pt idx="3">
                  <c:v>127.75232296031382</c:v>
                </c:pt>
                <c:pt idx="4">
                  <c:v>123.29324353159291</c:v>
                </c:pt>
                <c:pt idx="5">
                  <c:v>113.91036410167075</c:v>
                </c:pt>
                <c:pt idx="6">
                  <c:v>90.797136123880335</c:v>
                </c:pt>
                <c:pt idx="7">
                  <c:v>87.840733367595021</c:v>
                </c:pt>
                <c:pt idx="8">
                  <c:v>82.058625029712488</c:v>
                </c:pt>
                <c:pt idx="9">
                  <c:v>81.365997918578742</c:v>
                </c:pt>
                <c:pt idx="10">
                  <c:v>83.206538398352023</c:v>
                </c:pt>
                <c:pt idx="11">
                  <c:v>77.770761781587737</c:v>
                </c:pt>
                <c:pt idx="12">
                  <c:v>75.518102553422253</c:v>
                </c:pt>
                <c:pt idx="13">
                  <c:v>73.074863172433609</c:v>
                </c:pt>
                <c:pt idx="14">
                  <c:v>70.879167716118218</c:v>
                </c:pt>
                <c:pt idx="15">
                  <c:v>69.934392583876047</c:v>
                </c:pt>
                <c:pt idx="16">
                  <c:v>63.83128023123885</c:v>
                </c:pt>
                <c:pt idx="17">
                  <c:v>62.275479553375405</c:v>
                </c:pt>
                <c:pt idx="18">
                  <c:v>69.813918678323276</c:v>
                </c:pt>
                <c:pt idx="19">
                  <c:v>67.671099125343787</c:v>
                </c:pt>
                <c:pt idx="20">
                  <c:v>65.005785074156094</c:v>
                </c:pt>
                <c:pt idx="21">
                  <c:v>64.54446233121871</c:v>
                </c:pt>
                <c:pt idx="22">
                  <c:v>66.757289888227788</c:v>
                </c:pt>
                <c:pt idx="23">
                  <c:v>65.778109435638328</c:v>
                </c:pt>
                <c:pt idx="24">
                  <c:v>65.869137410148156</c:v>
                </c:pt>
                <c:pt idx="25">
                  <c:v>65.008726430420907</c:v>
                </c:pt>
                <c:pt idx="26">
                  <c:v>70.218755627049376</c:v>
                </c:pt>
                <c:pt idx="27">
                  <c:v>70.401481291821284</c:v>
                </c:pt>
                <c:pt idx="28">
                  <c:v>68.746600753943014</c:v>
                </c:pt>
                <c:pt idx="29">
                  <c:v>70.892361800079087</c:v>
                </c:pt>
                <c:pt idx="30">
                  <c:v>72.60771348574923</c:v>
                </c:pt>
                <c:pt idx="31">
                  <c:v>73.21207865207019</c:v>
                </c:pt>
                <c:pt idx="32">
                  <c:v>76.566796263332577</c:v>
                </c:pt>
                <c:pt idx="33">
                  <c:v>82.136020790750734</c:v>
                </c:pt>
                <c:pt idx="34">
                  <c:v>88.260368000509729</c:v>
                </c:pt>
                <c:pt idx="35">
                  <c:v>87.172485620345626</c:v>
                </c:pt>
                <c:pt idx="36">
                  <c:v>82.303470494122237</c:v>
                </c:pt>
                <c:pt idx="37">
                  <c:v>83.897057403353671</c:v>
                </c:pt>
                <c:pt idx="38">
                  <c:v>86.995976727971538</c:v>
                </c:pt>
                <c:pt idx="39">
                  <c:v>84.988113003642354</c:v>
                </c:pt>
                <c:pt idx="40">
                  <c:v>81.879091156115706</c:v>
                </c:pt>
                <c:pt idx="41">
                  <c:v>83.761317907875792</c:v>
                </c:pt>
                <c:pt idx="42">
                  <c:v>89.719717458318812</c:v>
                </c:pt>
                <c:pt idx="43">
                  <c:v>90.96968902263329</c:v>
                </c:pt>
                <c:pt idx="44">
                  <c:v>90.316559525921576</c:v>
                </c:pt>
                <c:pt idx="45">
                  <c:v>91.103030876130106</c:v>
                </c:pt>
                <c:pt idx="46">
                  <c:v>88.745914828120391</c:v>
                </c:pt>
                <c:pt idx="47">
                  <c:v>88.851994460041709</c:v>
                </c:pt>
                <c:pt idx="48">
                  <c:v>90.705013359129865</c:v>
                </c:pt>
                <c:pt idx="49">
                  <c:v>93.703821632553954</c:v>
                </c:pt>
                <c:pt idx="50">
                  <c:v>98.470610952418042</c:v>
                </c:pt>
                <c:pt idx="51">
                  <c:v>104.30674605804531</c:v>
                </c:pt>
                <c:pt idx="52">
                  <c:v>99.49241722386347</c:v>
                </c:pt>
                <c:pt idx="53">
                  <c:v>103.25434608705638</c:v>
                </c:pt>
              </c:numCache>
            </c:numRef>
          </c:val>
          <c:smooth val="0"/>
          <c:extLst>
            <c:ext xmlns:c16="http://schemas.microsoft.com/office/drawing/2014/chart" uri="{C3380CC4-5D6E-409C-BE32-E72D297353CC}">
              <c16:uniqueId val="{00000003-421D-4631-9871-CBB2621C75F4}"/>
            </c:ext>
          </c:extLst>
        </c:ser>
        <c:ser>
          <c:idx val="4"/>
          <c:order val="4"/>
          <c:tx>
            <c:strRef>
              <c:f>Sheet1!$H$1</c:f>
              <c:strCache>
                <c:ptCount val="1"/>
                <c:pt idx="0">
                  <c:v>Շաքարավազ</c:v>
                </c:pt>
              </c:strCache>
            </c:strRef>
          </c:tx>
          <c:spPr>
            <a:ln w="12700" cap="rnd">
              <a:solidFill>
                <a:schemeClr val="accent2">
                  <a:lumMod val="60000"/>
                  <a:lumOff val="40000"/>
                </a:schemeClr>
              </a:solidFill>
              <a:round/>
            </a:ln>
            <a:effectLst/>
          </c:spPr>
          <c:marker>
            <c:symbol val="none"/>
          </c:marker>
          <c:cat>
            <c:multiLvlStrRef>
              <c:f>Sheet1!$A$2:$B$91</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Sheet1!$H$2:$H$91</c:f>
              <c:numCache>
                <c:formatCode>0.0</c:formatCode>
                <c:ptCount val="54"/>
                <c:pt idx="0">
                  <c:v>100</c:v>
                </c:pt>
                <c:pt idx="1">
                  <c:v>98.10381355932202</c:v>
                </c:pt>
                <c:pt idx="2">
                  <c:v>104.65658178443734</c:v>
                </c:pt>
                <c:pt idx="3">
                  <c:v>107.87821720025109</c:v>
                </c:pt>
                <c:pt idx="4">
                  <c:v>106.85206585630317</c:v>
                </c:pt>
                <c:pt idx="5">
                  <c:v>104.09818524225304</c:v>
                </c:pt>
                <c:pt idx="6">
                  <c:v>100.15432098765432</c:v>
                </c:pt>
                <c:pt idx="7">
                  <c:v>98.053303856546265</c:v>
                </c:pt>
                <c:pt idx="8">
                  <c:v>97.34456143354447</c:v>
                </c:pt>
                <c:pt idx="9">
                  <c:v>96.372148985143326</c:v>
                </c:pt>
                <c:pt idx="10">
                  <c:v>101.53155852308394</c:v>
                </c:pt>
                <c:pt idx="11">
                  <c:v>104.00188323917136</c:v>
                </c:pt>
                <c:pt idx="12">
                  <c:v>103.65662272441935</c:v>
                </c:pt>
                <c:pt idx="13">
                  <c:v>111.09698681732579</c:v>
                </c:pt>
                <c:pt idx="14">
                  <c:v>112.71664073801139</c:v>
                </c:pt>
                <c:pt idx="15">
                  <c:v>132.60151319919379</c:v>
                </c:pt>
                <c:pt idx="16">
                  <c:v>139.53660902813442</c:v>
                </c:pt>
                <c:pt idx="17">
                  <c:v>135.05000570678536</c:v>
                </c:pt>
                <c:pt idx="18">
                  <c:v>129.87549696589244</c:v>
                </c:pt>
                <c:pt idx="19">
                  <c:v>131.53299762548104</c:v>
                </c:pt>
                <c:pt idx="20">
                  <c:v>144.41828834484195</c:v>
                </c:pt>
                <c:pt idx="21">
                  <c:v>141.28431204702392</c:v>
                </c:pt>
                <c:pt idx="22">
                  <c:v>143.24673286537688</c:v>
                </c:pt>
                <c:pt idx="23">
                  <c:v>119.14116446955428</c:v>
                </c:pt>
                <c:pt idx="24">
                  <c:v>121.06338811847287</c:v>
                </c:pt>
                <c:pt idx="25">
                  <c:v>124.94245658087463</c:v>
                </c:pt>
                <c:pt idx="26">
                  <c:v>118.36393596986818</c:v>
                </c:pt>
                <c:pt idx="27">
                  <c:v>112.37980083319066</c:v>
                </c:pt>
                <c:pt idx="28">
                  <c:v>103.93839525195456</c:v>
                </c:pt>
                <c:pt idx="29">
                  <c:v>105.94201192718143</c:v>
                </c:pt>
                <c:pt idx="30">
                  <c:v>106.09664565080922</c:v>
                </c:pt>
                <c:pt idx="31">
                  <c:v>101.0621754265822</c:v>
                </c:pt>
                <c:pt idx="32">
                  <c:v>112.0605775266792</c:v>
                </c:pt>
                <c:pt idx="33">
                  <c:v>114.99733890117085</c:v>
                </c:pt>
                <c:pt idx="34">
                  <c:v>112.22274534421426</c:v>
                </c:pt>
                <c:pt idx="35">
                  <c:v>105.87465997070514</c:v>
                </c:pt>
                <c:pt idx="36">
                  <c:v>98.700279632483031</c:v>
                </c:pt>
                <c:pt idx="37">
                  <c:v>105.21421845574389</c:v>
                </c:pt>
                <c:pt idx="38">
                  <c:v>103.7534002929483</c:v>
                </c:pt>
                <c:pt idx="39">
                  <c:v>99.680895584850362</c:v>
                </c:pt>
                <c:pt idx="40">
                  <c:v>97.129843634080913</c:v>
                </c:pt>
                <c:pt idx="41">
                  <c:v>91.915149612889721</c:v>
                </c:pt>
                <c:pt idx="42">
                  <c:v>91.729441305712498</c:v>
                </c:pt>
                <c:pt idx="43">
                  <c:v>91.951768152333116</c:v>
                </c:pt>
                <c:pt idx="44">
                  <c:v>88.216807909604512</c:v>
                </c:pt>
                <c:pt idx="45">
                  <c:v>83.535645077649519</c:v>
                </c:pt>
                <c:pt idx="46">
                  <c:v>78.623666038920334</c:v>
                </c:pt>
                <c:pt idx="47">
                  <c:v>80.504194487245357</c:v>
                </c:pt>
                <c:pt idx="48">
                  <c:v>79.736869637999618</c:v>
                </c:pt>
                <c:pt idx="49">
                  <c:v>76.495213433772776</c:v>
                </c:pt>
                <c:pt idx="50">
                  <c:v>82.406694059236443</c:v>
                </c:pt>
                <c:pt idx="51">
                  <c:v>78.562460765850645</c:v>
                </c:pt>
                <c:pt idx="52">
                  <c:v>84.42678907721286</c:v>
                </c:pt>
                <c:pt idx="53">
                  <c:v>79.648069679849357</c:v>
                </c:pt>
              </c:numCache>
            </c:numRef>
          </c:val>
          <c:smooth val="0"/>
          <c:extLst>
            <c:ext xmlns:c16="http://schemas.microsoft.com/office/drawing/2014/chart" uri="{C3380CC4-5D6E-409C-BE32-E72D297353CC}">
              <c16:uniqueId val="{00000004-421D-4631-9871-CBB2621C75F4}"/>
            </c:ext>
          </c:extLst>
        </c:ser>
        <c:ser>
          <c:idx val="5"/>
          <c:order val="5"/>
          <c:tx>
            <c:strRef>
              <c:f>Sheet1!$C$1</c:f>
              <c:strCache>
                <c:ptCount val="1"/>
                <c:pt idx="0">
                  <c:v>Պարենի գնի համաթիվ</c:v>
                </c:pt>
              </c:strCache>
            </c:strRef>
          </c:tx>
          <c:spPr>
            <a:ln w="28575" cap="rnd">
              <a:solidFill>
                <a:schemeClr val="tx2"/>
              </a:solidFill>
              <a:round/>
            </a:ln>
            <a:effectLst/>
          </c:spPr>
          <c:marker>
            <c:symbol val="none"/>
          </c:marker>
          <c:cat>
            <c:multiLvlStrRef>
              <c:f>Sheet1!$A$2:$B$91</c:f>
              <c:multiLvlStrCache>
                <c:ptCount val="54"/>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lvl>
                <c:lvl>
                  <c:pt idx="0">
                    <c:v>2022</c:v>
                  </c:pt>
                  <c:pt idx="12">
                    <c:v>2023</c:v>
                  </c:pt>
                  <c:pt idx="24">
                    <c:v>2024</c:v>
                  </c:pt>
                  <c:pt idx="36">
                    <c:v>2025</c:v>
                  </c:pt>
                  <c:pt idx="48">
                    <c:v>2026</c:v>
                  </c:pt>
                </c:lvl>
              </c:multiLvlStrCache>
            </c:multiLvlStrRef>
          </c:cat>
          <c:val>
            <c:numRef>
              <c:f>Sheet1!$C$2:$C$91</c:f>
              <c:numCache>
                <c:formatCode>0.0</c:formatCode>
                <c:ptCount val="54"/>
                <c:pt idx="0">
                  <c:v>100</c:v>
                </c:pt>
                <c:pt idx="1">
                  <c:v>104.4009297205526</c:v>
                </c:pt>
                <c:pt idx="2">
                  <c:v>118.07446230900041</c:v>
                </c:pt>
                <c:pt idx="3">
                  <c:v>117.02430954505427</c:v>
                </c:pt>
                <c:pt idx="4">
                  <c:v>116.94536546155774</c:v>
                </c:pt>
                <c:pt idx="5">
                  <c:v>114.71307728642006</c:v>
                </c:pt>
                <c:pt idx="6">
                  <c:v>104.35325491071377</c:v>
                </c:pt>
                <c:pt idx="7">
                  <c:v>102.20617600689668</c:v>
                </c:pt>
                <c:pt idx="8">
                  <c:v>101.20399754625838</c:v>
                </c:pt>
                <c:pt idx="9">
                  <c:v>100.71332702366774</c:v>
                </c:pt>
                <c:pt idx="10">
                  <c:v>100.20692105299763</c:v>
                </c:pt>
                <c:pt idx="11">
                  <c:v>98.084808159199326</c:v>
                </c:pt>
                <c:pt idx="12">
                  <c:v>96.854828025825483</c:v>
                </c:pt>
                <c:pt idx="13">
                  <c:v>96.341397964604894</c:v>
                </c:pt>
                <c:pt idx="14">
                  <c:v>94.316962085965287</c:v>
                </c:pt>
                <c:pt idx="15">
                  <c:v>94.613523357438524</c:v>
                </c:pt>
                <c:pt idx="16">
                  <c:v>91.720468101860135</c:v>
                </c:pt>
                <c:pt idx="17">
                  <c:v>90.648070216286754</c:v>
                </c:pt>
                <c:pt idx="18">
                  <c:v>91.644748528180784</c:v>
                </c:pt>
                <c:pt idx="19">
                  <c:v>89.757225493811362</c:v>
                </c:pt>
                <c:pt idx="20">
                  <c:v>89.662206522933388</c:v>
                </c:pt>
                <c:pt idx="21">
                  <c:v>88.965720244247464</c:v>
                </c:pt>
                <c:pt idx="22">
                  <c:v>88.878536624553988</c:v>
                </c:pt>
                <c:pt idx="23">
                  <c:v>87.746023907374919</c:v>
                </c:pt>
                <c:pt idx="24">
                  <c:v>86.698702597811064</c:v>
                </c:pt>
                <c:pt idx="25">
                  <c:v>86.551664448970328</c:v>
                </c:pt>
                <c:pt idx="26">
                  <c:v>87.655613586282726</c:v>
                </c:pt>
                <c:pt idx="27">
                  <c:v>87.878957028257119</c:v>
                </c:pt>
                <c:pt idx="28">
                  <c:v>88.792267004059639</c:v>
                </c:pt>
                <c:pt idx="29">
                  <c:v>89.16184714098064</c:v>
                </c:pt>
                <c:pt idx="30">
                  <c:v>89.077077305177525</c:v>
                </c:pt>
                <c:pt idx="31">
                  <c:v>89.665753609867807</c:v>
                </c:pt>
                <c:pt idx="32">
                  <c:v>91.814065842375257</c:v>
                </c:pt>
                <c:pt idx="33">
                  <c:v>93.501071973495215</c:v>
                </c:pt>
                <c:pt idx="34">
                  <c:v>94.097713697978037</c:v>
                </c:pt>
                <c:pt idx="35">
                  <c:v>93.813903946754579</c:v>
                </c:pt>
                <c:pt idx="36">
                  <c:v>91.836355162208406</c:v>
                </c:pt>
                <c:pt idx="37">
                  <c:v>93.296526705731381</c:v>
                </c:pt>
                <c:pt idx="38">
                  <c:v>93.763470949646418</c:v>
                </c:pt>
                <c:pt idx="39">
                  <c:v>94.448708930517242</c:v>
                </c:pt>
                <c:pt idx="40">
                  <c:v>93.650138112931302</c:v>
                </c:pt>
                <c:pt idx="41">
                  <c:v>94.391239396276575</c:v>
                </c:pt>
                <c:pt idx="42">
                  <c:v>95.633733935125719</c:v>
                </c:pt>
                <c:pt idx="43">
                  <c:v>95.814832511106403</c:v>
                </c:pt>
                <c:pt idx="44">
                  <c:v>94.746446378484833</c:v>
                </c:pt>
                <c:pt idx="45">
                  <c:v>93.164994124675161</c:v>
                </c:pt>
                <c:pt idx="46">
                  <c:v>92.279829376510037</c:v>
                </c:pt>
                <c:pt idx="47">
                  <c:v>91.751969379151049</c:v>
                </c:pt>
                <c:pt idx="48">
                  <c:v>91.451483185748046</c:v>
                </c:pt>
                <c:pt idx="49">
                  <c:v>92.465966519400183</c:v>
                </c:pt>
                <c:pt idx="50">
                  <c:v>94.820379868478852</c:v>
                </c:pt>
                <c:pt idx="51">
                  <c:v>96.542197674027946</c:v>
                </c:pt>
                <c:pt idx="52">
                  <c:v>96.364301512967188</c:v>
                </c:pt>
                <c:pt idx="53">
                  <c:v>96.037794601127558</c:v>
                </c:pt>
              </c:numCache>
            </c:numRef>
          </c:val>
          <c:smooth val="0"/>
          <c:extLst>
            <c:ext xmlns:c16="http://schemas.microsoft.com/office/drawing/2014/chart" uri="{C3380CC4-5D6E-409C-BE32-E72D297353CC}">
              <c16:uniqueId val="{00000005-421D-4631-9871-CBB2621C75F4}"/>
            </c:ext>
          </c:extLst>
        </c:ser>
        <c:dLbls>
          <c:showLegendKey val="0"/>
          <c:showVal val="0"/>
          <c:showCatName val="0"/>
          <c:showSerName val="0"/>
          <c:showPercent val="0"/>
          <c:showBubbleSize val="0"/>
        </c:dLbls>
        <c:smooth val="0"/>
        <c:axId val="-412811744"/>
        <c:axId val="-720232704"/>
      </c:lineChart>
      <c:catAx>
        <c:axId val="-412811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20232704"/>
        <c:crosses val="autoZero"/>
        <c:auto val="1"/>
        <c:lblAlgn val="ctr"/>
        <c:lblOffset val="0"/>
        <c:noMultiLvlLbl val="0"/>
      </c:catAx>
      <c:valAx>
        <c:axId val="-720232704"/>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hy-AM" sz="900" dirty="0">
                    <a:latin typeface="GHEA Grapalat" panose="02000506050000020003" pitchFamily="50" charset="0"/>
                  </a:rPr>
                  <a:t>Ինդեքս,</a:t>
                </a:r>
                <a:r>
                  <a:rPr lang="hy-AM" sz="900" baseline="0" dirty="0">
                    <a:latin typeface="GHEA Grapalat" panose="02000506050000020003" pitchFamily="50" charset="0"/>
                  </a:rPr>
                  <a:t> </a:t>
                </a:r>
                <a:r>
                  <a:rPr lang="hy-AM" sz="900" dirty="0">
                    <a:latin typeface="GHEA Grapalat" panose="02000506050000020003" pitchFamily="50" charset="0"/>
                  </a:rPr>
                  <a:t>20</a:t>
                </a:r>
                <a:r>
                  <a:rPr lang="en-US" sz="900" dirty="0">
                    <a:latin typeface="GHEA Grapalat" panose="02000506050000020003" pitchFamily="50" charset="0"/>
                  </a:rPr>
                  <a:t>22</a:t>
                </a:r>
                <a:r>
                  <a:rPr lang="hy-AM" sz="900" dirty="0">
                    <a:latin typeface="GHEA Grapalat" panose="02000506050000020003" pitchFamily="50" charset="0"/>
                  </a:rPr>
                  <a:t>թ.</a:t>
                </a:r>
                <a:r>
                  <a:rPr lang="hy-AM" sz="900" baseline="0" dirty="0">
                    <a:latin typeface="GHEA Grapalat" panose="02000506050000020003" pitchFamily="50" charset="0"/>
                  </a:rPr>
                  <a:t> հունվար </a:t>
                </a:r>
                <a:r>
                  <a:rPr lang="en-US" sz="900" baseline="0" dirty="0">
                    <a:latin typeface="GHEA Grapalat" panose="02000506050000020003" pitchFamily="50" charset="0"/>
                  </a:rPr>
                  <a:t>=100</a:t>
                </a:r>
                <a:endParaRPr lang="en-US" sz="900" dirty="0">
                  <a:latin typeface="GHEA Grapalat" panose="02000506050000020003" pitchFamily="50" charset="0"/>
                </a:endParaRPr>
              </a:p>
            </c:rich>
          </c:tx>
          <c:layout>
            <c:manualLayout>
              <c:xMode val="edge"/>
              <c:yMode val="edge"/>
              <c:x val="5.775339301183945E-3"/>
              <c:y val="0.1018531088786315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12811744"/>
        <c:crosses val="autoZero"/>
        <c:crossBetween val="between"/>
      </c:valAx>
      <c:spPr>
        <a:noFill/>
        <a:ln w="25400">
          <a:noFill/>
        </a:ln>
        <a:effectLst/>
      </c:spPr>
    </c:plotArea>
    <c:legend>
      <c:legendPos val="b"/>
      <c:layout>
        <c:manualLayout>
          <c:xMode val="edge"/>
          <c:yMode val="edge"/>
          <c:x val="0"/>
          <c:y val="0.83821147356580428"/>
          <c:w val="1"/>
          <c:h val="0.161788526434195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648674558635019E-2"/>
          <c:w val="0.87658476118247253"/>
          <c:h val="0.65144177429257732"/>
        </c:manualLayout>
      </c:layout>
      <c:barChart>
        <c:barDir val="col"/>
        <c:grouping val="clustered"/>
        <c:varyColors val="0"/>
        <c:ser>
          <c:idx val="1"/>
          <c:order val="1"/>
          <c:tx>
            <c:strRef>
              <c:f>Sheet1!$A$3</c:f>
              <c:strCache>
                <c:ptCount val="1"/>
                <c:pt idx="0">
                  <c:v>արդյունաբերություն</c:v>
                </c:pt>
              </c:strCache>
            </c:strRef>
          </c:tx>
          <c:spPr>
            <a:solidFill>
              <a:sysClr val="window" lastClr="FFFFFF">
                <a:lumMod val="65000"/>
              </a:sysClr>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Sheet1!$B$3:$G$3</c:f>
              <c:numCache>
                <c:formatCode>0.0</c:formatCode>
                <c:ptCount val="6"/>
                <c:pt idx="0">
                  <c:v>10.599999999999994</c:v>
                </c:pt>
                <c:pt idx="1">
                  <c:v>17.200000000000003</c:v>
                </c:pt>
                <c:pt idx="2">
                  <c:v>13.400000000000006</c:v>
                </c:pt>
                <c:pt idx="3">
                  <c:v>13</c:v>
                </c:pt>
                <c:pt idx="4">
                  <c:v>12.200000000000003</c:v>
                </c:pt>
                <c:pt idx="5">
                  <c:v>10.799999999999997</c:v>
                </c:pt>
              </c:numCache>
            </c:numRef>
          </c:val>
          <c:extLst>
            <c:ext xmlns:c16="http://schemas.microsoft.com/office/drawing/2014/chart" uri="{C3380CC4-5D6E-409C-BE32-E72D297353CC}">
              <c16:uniqueId val="{00000000-4EED-43FF-B203-215B2A715AB6}"/>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Sheet1!$B$4:$G$4</c:f>
              <c:numCache>
                <c:formatCode>General</c:formatCode>
                <c:ptCount val="6"/>
                <c:pt idx="2" formatCode="0.0">
                  <c:v>-5.2000000000000028</c:v>
                </c:pt>
                <c:pt idx="5" formatCode="0.0">
                  <c:v>-11.900000000000006</c:v>
                </c:pt>
              </c:numCache>
            </c:numRef>
          </c:val>
          <c:extLst>
            <c:ext xmlns:c16="http://schemas.microsoft.com/office/drawing/2014/chart" uri="{C3380CC4-5D6E-409C-BE32-E72D297353CC}">
              <c16:uniqueId val="{00000001-4EED-43FF-B203-215B2A715AB6}"/>
            </c:ext>
          </c:extLst>
        </c:ser>
        <c:ser>
          <c:idx val="3"/>
          <c:order val="3"/>
          <c:tx>
            <c:strRef>
              <c:f>Sheet1!$A$5</c:f>
              <c:strCache>
                <c:ptCount val="1"/>
                <c:pt idx="0">
                  <c:v>շինարարություն</c:v>
                </c:pt>
              </c:strCache>
            </c:strRef>
          </c:tx>
          <c:spPr>
            <a:solidFill>
              <a:srgbClr val="1F497D">
                <a:lumMod val="60000"/>
                <a:lumOff val="40000"/>
              </a:srgbClr>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Sheet1!$B$5:$G$5</c:f>
              <c:numCache>
                <c:formatCode>0.0</c:formatCode>
                <c:ptCount val="6"/>
                <c:pt idx="0">
                  <c:v>18.700000000000003</c:v>
                </c:pt>
                <c:pt idx="1">
                  <c:v>20.5</c:v>
                </c:pt>
                <c:pt idx="2">
                  <c:v>22</c:v>
                </c:pt>
                <c:pt idx="3">
                  <c:v>22.900000000000006</c:v>
                </c:pt>
                <c:pt idx="4">
                  <c:v>24.099999999999994</c:v>
                </c:pt>
                <c:pt idx="5">
                  <c:v>24.5</c:v>
                </c:pt>
              </c:numCache>
            </c:numRef>
          </c:val>
          <c:extLst>
            <c:ext xmlns:c16="http://schemas.microsoft.com/office/drawing/2014/chart" uri="{C3380CC4-5D6E-409C-BE32-E72D297353CC}">
              <c16:uniqueId val="{00000002-4EED-43FF-B203-215B2A715AB6}"/>
            </c:ext>
          </c:extLst>
        </c:ser>
        <c:ser>
          <c:idx val="4"/>
          <c:order val="4"/>
          <c:tx>
            <c:strRef>
              <c:f>Sheet1!$A$6</c:f>
              <c:strCache>
                <c:ptCount val="1"/>
                <c:pt idx="0">
                  <c:v>ծառայություններ</c:v>
                </c:pt>
              </c:strCache>
            </c:strRef>
          </c:tx>
          <c:spPr>
            <a:solidFill>
              <a:srgbClr val="1F497D"/>
            </a:solidFill>
            <a:ln>
              <a:solidFill>
                <a:srgbClr val="1F497D">
                  <a:lumMod val="75000"/>
                </a:srgbClr>
              </a:solidFill>
            </a:ln>
          </c:spPr>
          <c:invertIfNegative val="0"/>
          <c:cat>
            <c:strRef>
              <c:f>Sheet1!$B$1:$G$1</c:f>
              <c:strCache>
                <c:ptCount val="6"/>
                <c:pt idx="0">
                  <c:v>I</c:v>
                </c:pt>
                <c:pt idx="1">
                  <c:v>I-II</c:v>
                </c:pt>
                <c:pt idx="2">
                  <c:v>I-III</c:v>
                </c:pt>
                <c:pt idx="3">
                  <c:v>I-IV</c:v>
                </c:pt>
                <c:pt idx="4">
                  <c:v>I-V</c:v>
                </c:pt>
                <c:pt idx="5">
                  <c:v>I-VI</c:v>
                </c:pt>
              </c:strCache>
            </c:strRef>
          </c:cat>
          <c:val>
            <c:numRef>
              <c:f>Sheet1!$B$6:$G$6</c:f>
              <c:numCache>
                <c:formatCode>0.0</c:formatCode>
                <c:ptCount val="6"/>
                <c:pt idx="0">
                  <c:v>6.2000000000000028</c:v>
                </c:pt>
                <c:pt idx="1">
                  <c:v>6.3489569736002665</c:v>
                </c:pt>
                <c:pt idx="2">
                  <c:v>7.0100339872392112</c:v>
                </c:pt>
                <c:pt idx="3">
                  <c:v>7.5710037697418642</c:v>
                </c:pt>
                <c:pt idx="4">
                  <c:v>9.0999999999999943</c:v>
                </c:pt>
                <c:pt idx="5">
                  <c:v>11</c:v>
                </c:pt>
              </c:numCache>
            </c:numRef>
          </c:val>
          <c:extLst>
            <c:ext xmlns:c16="http://schemas.microsoft.com/office/drawing/2014/chart" uri="{C3380CC4-5D6E-409C-BE32-E72D297353CC}">
              <c16:uniqueId val="{00000003-4EED-43FF-B203-215B2A715AB6}"/>
            </c:ext>
          </c:extLst>
        </c:ser>
        <c:ser>
          <c:idx val="5"/>
          <c:order val="5"/>
          <c:tx>
            <c:strRef>
              <c:f>Sheet1!$A$7</c:f>
              <c:strCache>
                <c:ptCount val="1"/>
                <c:pt idx="0">
                  <c:v>առևտուր</c:v>
                </c:pt>
              </c:strCache>
            </c:strRef>
          </c:tx>
          <c:spPr>
            <a:solidFill>
              <a:srgbClr val="F79646"/>
            </a:solidFill>
          </c:spPr>
          <c:invertIfNegative val="0"/>
          <c:cat>
            <c:strRef>
              <c:f>Sheet1!$B$1:$G$1</c:f>
              <c:strCache>
                <c:ptCount val="6"/>
                <c:pt idx="0">
                  <c:v>I</c:v>
                </c:pt>
                <c:pt idx="1">
                  <c:v>I-II</c:v>
                </c:pt>
                <c:pt idx="2">
                  <c:v>I-III</c:v>
                </c:pt>
                <c:pt idx="3">
                  <c:v>I-IV</c:v>
                </c:pt>
                <c:pt idx="4">
                  <c:v>I-V</c:v>
                </c:pt>
                <c:pt idx="5">
                  <c:v>I-VI</c:v>
                </c:pt>
              </c:strCache>
            </c:strRef>
          </c:cat>
          <c:val>
            <c:numRef>
              <c:f>Sheet1!$B$7:$G$7</c:f>
              <c:numCache>
                <c:formatCode>0.0</c:formatCode>
                <c:ptCount val="6"/>
                <c:pt idx="0">
                  <c:v>0.70000000000000284</c:v>
                </c:pt>
                <c:pt idx="1">
                  <c:v>3.2999999999999972</c:v>
                </c:pt>
                <c:pt idx="2">
                  <c:v>2.0999999999999943</c:v>
                </c:pt>
                <c:pt idx="3">
                  <c:v>1.5</c:v>
                </c:pt>
                <c:pt idx="4">
                  <c:v>1.2000000000000028</c:v>
                </c:pt>
                <c:pt idx="5">
                  <c:v>0.90000000000000568</c:v>
                </c:pt>
              </c:numCache>
            </c:numRef>
          </c:val>
          <c:extLst>
            <c:ext xmlns:c16="http://schemas.microsoft.com/office/drawing/2014/chart" uri="{C3380CC4-5D6E-409C-BE32-E72D297353CC}">
              <c16:uniqueId val="{00000004-4EED-43FF-B203-215B2A715AB6}"/>
            </c:ext>
          </c:extLst>
        </c:ser>
        <c:dLbls>
          <c:showLegendKey val="0"/>
          <c:showVal val="0"/>
          <c:showCatName val="0"/>
          <c:showSerName val="0"/>
          <c:showPercent val="0"/>
          <c:showBubbleSize val="0"/>
        </c:dLbls>
        <c:gapWidth val="150"/>
        <c:axId val="592752128"/>
        <c:axId val="539965056"/>
      </c:barChart>
      <c:lineChart>
        <c:grouping val="standard"/>
        <c:varyColors val="0"/>
        <c:ser>
          <c:idx val="0"/>
          <c:order val="0"/>
          <c:tx>
            <c:strRef>
              <c:f>Sheet1!$A$2</c:f>
              <c:strCache>
                <c:ptCount val="1"/>
                <c:pt idx="0">
                  <c:v>ՏԱՑ, աջ առանցք</c:v>
                </c:pt>
              </c:strCache>
            </c:strRef>
          </c:tx>
          <c:spPr>
            <a:effectLst/>
          </c:spPr>
          <c:dLbls>
            <c:dLbl>
              <c:idx val="0"/>
              <c:layout>
                <c:manualLayout>
                  <c:x val="-6.2142724285448571E-2"/>
                  <c:y val="-4.5468401607117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EED-43FF-B203-215B2A715AB6}"/>
                </c:ext>
              </c:extLst>
            </c:dLbl>
            <c:dLbl>
              <c:idx val="1"/>
              <c:layout>
                <c:manualLayout>
                  <c:x val="-4.7389305304926396E-2"/>
                  <c:y val="-4.4120478540721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EED-43FF-B203-215B2A715AB6}"/>
                </c:ext>
              </c:extLst>
            </c:dLbl>
            <c:dLbl>
              <c:idx val="2"/>
              <c:layout>
                <c:manualLayout>
                  <c:x val="-5.3356980398171321E-2"/>
                  <c:y val="-4.41204785407213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EED-43FF-B203-215B2A715AB6}"/>
                </c:ext>
              </c:extLst>
            </c:dLbl>
            <c:dLbl>
              <c:idx val="3"/>
              <c:layout>
                <c:manualLayout>
                  <c:x val="-6.5789636842431498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EED-43FF-B203-215B2A715AB6}"/>
                </c:ext>
              </c:extLst>
            </c:dLbl>
            <c:dLbl>
              <c:idx val="4"/>
              <c:layout>
                <c:manualLayout>
                  <c:x val="-6.6473269788644845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EED-43FF-B203-215B2A715AB6}"/>
                </c:ext>
              </c:extLst>
            </c:dLbl>
            <c:dLbl>
              <c:idx val="5"/>
              <c:layout>
                <c:manualLayout>
                  <c:x val="-6.897024320364438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EED-43FF-B203-215B2A715AB6}"/>
                </c:ext>
              </c:extLst>
            </c:dLbl>
            <c:dLbl>
              <c:idx val="6"/>
              <c:layout>
                <c:manualLayout>
                  <c:x val="-6.7633651056775879E-2"/>
                  <c:y val="-5.230834688755561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EED-43FF-B203-215B2A715AB6}"/>
                </c:ext>
              </c:extLst>
            </c:dLbl>
            <c:dLbl>
              <c:idx val="7"/>
              <c:layout>
                <c:manualLayout>
                  <c:x val="-7.5922088686282793E-2"/>
                  <c:y val="-4.54684016071178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EED-43FF-B203-215B2A715AB6}"/>
                </c:ext>
              </c:extLst>
            </c:dLbl>
            <c:dLbl>
              <c:idx val="8"/>
              <c:layout>
                <c:manualLayout>
                  <c:x val="-6.4836466515038299E-2"/>
                  <c:y val="-4.54684016071178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EED-43FF-B203-215B2A715AB6}"/>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I</c:v>
                </c:pt>
                <c:pt idx="1">
                  <c:v>I-II</c:v>
                </c:pt>
                <c:pt idx="2">
                  <c:v>I-III</c:v>
                </c:pt>
                <c:pt idx="3">
                  <c:v>I-IV</c:v>
                </c:pt>
                <c:pt idx="4">
                  <c:v>I-V</c:v>
                </c:pt>
                <c:pt idx="5">
                  <c:v>I-VI</c:v>
                </c:pt>
              </c:strCache>
            </c:strRef>
          </c:cat>
          <c:val>
            <c:numRef>
              <c:f>Sheet1!$B$2:$G$2</c:f>
              <c:numCache>
                <c:formatCode>0.0</c:formatCode>
                <c:ptCount val="6"/>
                <c:pt idx="0">
                  <c:v>6.9089328253228786</c:v>
                </c:pt>
                <c:pt idx="1">
                  <c:v>6.9534510515444339</c:v>
                </c:pt>
                <c:pt idx="2">
                  <c:v>6.8214960308588246</c:v>
                </c:pt>
                <c:pt idx="3">
                  <c:v>6.8990393045545062</c:v>
                </c:pt>
                <c:pt idx="4">
                  <c:v>8</c:v>
                </c:pt>
                <c:pt idx="5">
                  <c:v>7.9000000000000057</c:v>
                </c:pt>
              </c:numCache>
            </c:numRef>
          </c:val>
          <c:smooth val="0"/>
          <c:extLst>
            <c:ext xmlns:c16="http://schemas.microsoft.com/office/drawing/2014/chart" uri="{C3380CC4-5D6E-409C-BE32-E72D297353CC}">
              <c16:uniqueId val="{0000000E-4EED-43FF-B203-215B2A715AB6}"/>
            </c:ext>
          </c:extLst>
        </c:ser>
        <c:dLbls>
          <c:showLegendKey val="0"/>
          <c:showVal val="0"/>
          <c:showCatName val="0"/>
          <c:showSerName val="0"/>
          <c:showPercent val="0"/>
          <c:showBubbleSize val="0"/>
        </c:dLbls>
        <c:marker val="1"/>
        <c:smooth val="0"/>
        <c:axId val="525723136"/>
        <c:axId val="539965632"/>
      </c:lineChart>
      <c:catAx>
        <c:axId val="59275212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39965056"/>
        <c:crosses val="autoZero"/>
        <c:auto val="1"/>
        <c:lblAlgn val="ctr"/>
        <c:lblOffset val="100"/>
        <c:noMultiLvlLbl val="0"/>
      </c:catAx>
      <c:valAx>
        <c:axId val="539965056"/>
        <c:scaling>
          <c:orientation val="minMax"/>
          <c:max val="26"/>
          <c:min val="-14"/>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92752128"/>
        <c:crosses val="autoZero"/>
        <c:crossBetween val="between"/>
        <c:majorUnit val="7"/>
      </c:valAx>
      <c:valAx>
        <c:axId val="539965632"/>
        <c:scaling>
          <c:orientation val="minMax"/>
          <c:min val="0"/>
        </c:scaling>
        <c:delete val="0"/>
        <c:axPos val="r"/>
        <c:numFmt formatCode="0.0" sourceLinked="1"/>
        <c:majorTickMark val="out"/>
        <c:minorTickMark val="none"/>
        <c:tickLblPos val="nextTo"/>
        <c:crossAx val="525723136"/>
        <c:crosses val="max"/>
        <c:crossBetween val="between"/>
        <c:majorUnit val="2"/>
      </c:valAx>
      <c:catAx>
        <c:axId val="525723136"/>
        <c:scaling>
          <c:orientation val="minMax"/>
        </c:scaling>
        <c:delete val="1"/>
        <c:axPos val="b"/>
        <c:numFmt formatCode="General" sourceLinked="1"/>
        <c:majorTickMark val="out"/>
        <c:minorTickMark val="none"/>
        <c:tickLblPos val="nextTo"/>
        <c:crossAx val="539965632"/>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662156607202E-2"/>
          <c:y val="0.82064339658692165"/>
          <c:w val="0.8907172761713944"/>
          <c:h val="0.17935682971229144"/>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6.746374940837313E-2"/>
          <c:w val="0.87658476118247253"/>
          <c:h val="0.62133489719661383"/>
        </c:manualLayout>
      </c:layout>
      <c:barChart>
        <c:barDir val="col"/>
        <c:grouping val="clustered"/>
        <c:varyColors val="0"/>
        <c:ser>
          <c:idx val="1"/>
          <c:order val="1"/>
          <c:tx>
            <c:strRef>
              <c:f>Sheet1!$A$3</c:f>
              <c:strCache>
                <c:ptCount val="1"/>
                <c:pt idx="0">
                  <c:v>արդյունաբերություն</c:v>
                </c:pt>
              </c:strCache>
            </c:strRef>
          </c:tx>
          <c:spPr>
            <a:solidFill>
              <a:sysClr val="window" lastClr="FFFFFF">
                <a:lumMod val="65000"/>
              </a:sysClr>
            </a:solidFill>
            <a:ln>
              <a:noFill/>
            </a:ln>
            <a:effectLst/>
          </c:spPr>
          <c:invertIfNegative val="0"/>
          <c:cat>
            <c:strRef>
              <c:f>Sheet1!$B$1:$G$1</c:f>
              <c:strCache>
                <c:ptCount val="6"/>
                <c:pt idx="0">
                  <c:v>I</c:v>
                </c:pt>
                <c:pt idx="1">
                  <c:v>II</c:v>
                </c:pt>
                <c:pt idx="2">
                  <c:v>III</c:v>
                </c:pt>
                <c:pt idx="3">
                  <c:v>IV</c:v>
                </c:pt>
                <c:pt idx="4">
                  <c:v>V</c:v>
                </c:pt>
                <c:pt idx="5">
                  <c:v>VI</c:v>
                </c:pt>
              </c:strCache>
            </c:strRef>
          </c:cat>
          <c:val>
            <c:numRef>
              <c:f>Sheet1!$B$3:$G$3</c:f>
              <c:numCache>
                <c:formatCode>0.0</c:formatCode>
                <c:ptCount val="6"/>
                <c:pt idx="0">
                  <c:v>10.599999999999994</c:v>
                </c:pt>
                <c:pt idx="1">
                  <c:v>23.799999999999997</c:v>
                </c:pt>
                <c:pt idx="2">
                  <c:v>7</c:v>
                </c:pt>
                <c:pt idx="3">
                  <c:v>11.700000000000003</c:v>
                </c:pt>
                <c:pt idx="4">
                  <c:v>9.5</c:v>
                </c:pt>
                <c:pt idx="5">
                  <c:v>4</c:v>
                </c:pt>
              </c:numCache>
            </c:numRef>
          </c:val>
          <c:extLst>
            <c:ext xmlns:c16="http://schemas.microsoft.com/office/drawing/2014/chart" uri="{C3380CC4-5D6E-409C-BE32-E72D297353CC}">
              <c16:uniqueId val="{00000000-0DBC-432B-8AF1-DD6B4610D4BC}"/>
            </c:ext>
          </c:extLst>
        </c:ser>
        <c:ser>
          <c:idx val="2"/>
          <c:order val="2"/>
          <c:tx>
            <c:strRef>
              <c:f>Sheet1!$A$4</c:f>
              <c:strCache>
                <c:ptCount val="1"/>
                <c:pt idx="0">
                  <c:v>շինարարություն</c:v>
                </c:pt>
              </c:strCache>
            </c:strRef>
          </c:tx>
          <c:spPr>
            <a:solidFill>
              <a:srgbClr val="1F497D">
                <a:lumMod val="60000"/>
                <a:lumOff val="40000"/>
              </a:srgbClr>
            </a:solidFill>
            <a:ln>
              <a:solidFill>
                <a:srgbClr val="1F497D">
                  <a:lumMod val="60000"/>
                  <a:lumOff val="40000"/>
                </a:srgbClr>
              </a:solidFill>
            </a:ln>
            <a:effectLst/>
          </c:spPr>
          <c:invertIfNegative val="0"/>
          <c:cat>
            <c:strRef>
              <c:f>Sheet1!$B$1:$G$1</c:f>
              <c:strCache>
                <c:ptCount val="6"/>
                <c:pt idx="0">
                  <c:v>I</c:v>
                </c:pt>
                <c:pt idx="1">
                  <c:v>II</c:v>
                </c:pt>
                <c:pt idx="2">
                  <c:v>III</c:v>
                </c:pt>
                <c:pt idx="3">
                  <c:v>IV</c:v>
                </c:pt>
                <c:pt idx="4">
                  <c:v>V</c:v>
                </c:pt>
                <c:pt idx="5">
                  <c:v>VI</c:v>
                </c:pt>
              </c:strCache>
            </c:strRef>
          </c:cat>
          <c:val>
            <c:numRef>
              <c:f>Sheet1!$B$4:$G$4</c:f>
              <c:numCache>
                <c:formatCode>0.0</c:formatCode>
                <c:ptCount val="6"/>
                <c:pt idx="0">
                  <c:v>18.700000000000003</c:v>
                </c:pt>
                <c:pt idx="1">
                  <c:v>21.799999999999997</c:v>
                </c:pt>
                <c:pt idx="2">
                  <c:v>24</c:v>
                </c:pt>
                <c:pt idx="3">
                  <c:v>24.700000000000003</c:v>
                </c:pt>
                <c:pt idx="4">
                  <c:v>27.099999999999994</c:v>
                </c:pt>
                <c:pt idx="5">
                  <c:v>25.400000000000006</c:v>
                </c:pt>
              </c:numCache>
            </c:numRef>
          </c:val>
          <c:extLst>
            <c:ext xmlns:c16="http://schemas.microsoft.com/office/drawing/2014/chart" uri="{C3380CC4-5D6E-409C-BE32-E72D297353CC}">
              <c16:uniqueId val="{00000001-0DBC-432B-8AF1-DD6B4610D4BC}"/>
            </c:ext>
          </c:extLst>
        </c:ser>
        <c:ser>
          <c:idx val="3"/>
          <c:order val="3"/>
          <c:tx>
            <c:strRef>
              <c:f>Sheet1!$A$5</c:f>
              <c:strCache>
                <c:ptCount val="1"/>
                <c:pt idx="0">
                  <c:v>ծառայություններ</c:v>
                </c:pt>
              </c:strCache>
            </c:strRef>
          </c:tx>
          <c:spPr>
            <a:solidFill>
              <a:srgbClr val="1F497D">
                <a:lumMod val="75000"/>
              </a:srgbClr>
            </a:solidFill>
            <a:ln>
              <a:solidFill>
                <a:srgbClr val="1F497D">
                  <a:lumMod val="75000"/>
                </a:srgbClr>
              </a:solidFill>
            </a:ln>
            <a:effectLst/>
          </c:spPr>
          <c:invertIfNegative val="0"/>
          <c:cat>
            <c:strRef>
              <c:f>Sheet1!$B$1:$G$1</c:f>
              <c:strCache>
                <c:ptCount val="6"/>
                <c:pt idx="0">
                  <c:v>I</c:v>
                </c:pt>
                <c:pt idx="1">
                  <c:v>II</c:v>
                </c:pt>
                <c:pt idx="2">
                  <c:v>III</c:v>
                </c:pt>
                <c:pt idx="3">
                  <c:v>IV</c:v>
                </c:pt>
                <c:pt idx="4">
                  <c:v>V</c:v>
                </c:pt>
                <c:pt idx="5">
                  <c:v>VI</c:v>
                </c:pt>
              </c:strCache>
            </c:strRef>
          </c:cat>
          <c:val>
            <c:numRef>
              <c:f>Sheet1!$B$5:$G$5</c:f>
              <c:numCache>
                <c:formatCode>0.0</c:formatCode>
                <c:ptCount val="6"/>
                <c:pt idx="0">
                  <c:v>6.2000000000000028</c:v>
                </c:pt>
                <c:pt idx="1">
                  <c:v>6.5</c:v>
                </c:pt>
                <c:pt idx="2">
                  <c:v>8.2000000000000028</c:v>
                </c:pt>
                <c:pt idx="3">
                  <c:v>9.0999999999999943</c:v>
                </c:pt>
                <c:pt idx="4">
                  <c:v>14.700000000000003</c:v>
                </c:pt>
                <c:pt idx="5">
                  <c:v>19.700000000000003</c:v>
                </c:pt>
              </c:numCache>
            </c:numRef>
          </c:val>
          <c:extLst>
            <c:ext xmlns:c16="http://schemas.microsoft.com/office/drawing/2014/chart" uri="{C3380CC4-5D6E-409C-BE32-E72D297353CC}">
              <c16:uniqueId val="{00000002-0DBC-432B-8AF1-DD6B4610D4BC}"/>
            </c:ext>
          </c:extLst>
        </c:ser>
        <c:ser>
          <c:idx val="4"/>
          <c:order val="4"/>
          <c:tx>
            <c:strRef>
              <c:f>Sheet1!$A$6</c:f>
              <c:strCache>
                <c:ptCount val="1"/>
                <c:pt idx="0">
                  <c:v>առևտուր</c:v>
                </c:pt>
              </c:strCache>
            </c:strRef>
          </c:tx>
          <c:spPr>
            <a:solidFill>
              <a:srgbClr val="F79646"/>
            </a:solidFill>
          </c:spPr>
          <c:invertIfNegative val="0"/>
          <c:cat>
            <c:strRef>
              <c:f>Sheet1!$B$1:$G$1</c:f>
              <c:strCache>
                <c:ptCount val="6"/>
                <c:pt idx="0">
                  <c:v>I</c:v>
                </c:pt>
                <c:pt idx="1">
                  <c:v>II</c:v>
                </c:pt>
                <c:pt idx="2">
                  <c:v>III</c:v>
                </c:pt>
                <c:pt idx="3">
                  <c:v>IV</c:v>
                </c:pt>
                <c:pt idx="4">
                  <c:v>V</c:v>
                </c:pt>
                <c:pt idx="5">
                  <c:v>VI</c:v>
                </c:pt>
              </c:strCache>
            </c:strRef>
          </c:cat>
          <c:val>
            <c:numRef>
              <c:f>Sheet1!$B$6:$G$6</c:f>
              <c:numCache>
                <c:formatCode>0.0</c:formatCode>
                <c:ptCount val="6"/>
                <c:pt idx="0">
                  <c:v>0.70000000000000284</c:v>
                </c:pt>
                <c:pt idx="1">
                  <c:v>5.5999999999999943</c:v>
                </c:pt>
                <c:pt idx="2">
                  <c:v>0.20000000000000284</c:v>
                </c:pt>
                <c:pt idx="3">
                  <c:v>9.9999999999994316E-2</c:v>
                </c:pt>
                <c:pt idx="4">
                  <c:v>0</c:v>
                </c:pt>
                <c:pt idx="5">
                  <c:v>-9.9999999999994316E-2</c:v>
                </c:pt>
              </c:numCache>
            </c:numRef>
          </c:val>
          <c:extLst>
            <c:ext xmlns:c16="http://schemas.microsoft.com/office/drawing/2014/chart" uri="{C3380CC4-5D6E-409C-BE32-E72D297353CC}">
              <c16:uniqueId val="{00000003-0DBC-432B-8AF1-DD6B4610D4BC}"/>
            </c:ext>
          </c:extLst>
        </c:ser>
        <c:dLbls>
          <c:showLegendKey val="0"/>
          <c:showVal val="0"/>
          <c:showCatName val="0"/>
          <c:showSerName val="0"/>
          <c:showPercent val="0"/>
          <c:showBubbleSize val="0"/>
        </c:dLbls>
        <c:gapWidth val="219"/>
        <c:overlap val="-27"/>
        <c:axId val="526524416"/>
        <c:axId val="539963904"/>
      </c:barChart>
      <c:lineChart>
        <c:grouping val="standard"/>
        <c:varyColors val="0"/>
        <c:ser>
          <c:idx val="0"/>
          <c:order val="0"/>
          <c:tx>
            <c:strRef>
              <c:f>Sheet1!$A$2</c:f>
              <c:strCache>
                <c:ptCount val="1"/>
                <c:pt idx="0">
                  <c:v>ՏԱՑ, աջ առանցք</c:v>
                </c:pt>
              </c:strCache>
            </c:strRef>
          </c:tx>
          <c:spPr>
            <a:effectLst/>
          </c:spPr>
          <c:dLbls>
            <c:dLbl>
              <c:idx val="0"/>
              <c:layout>
                <c:manualLayout>
                  <c:x val="-5.7823778964774662E-2"/>
                  <c:y val="-5.08864169756558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DBC-432B-8AF1-DD6B4610D4BC}"/>
                </c:ext>
              </c:extLst>
            </c:dLbl>
            <c:dLbl>
              <c:idx val="1"/>
              <c:layout>
                <c:manualLayout>
                  <c:x val="-4.5131004619797799E-2"/>
                  <c:y val="-3.90375083208906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DBC-432B-8AF1-DD6B4610D4BC}"/>
                </c:ext>
              </c:extLst>
            </c:dLbl>
            <c:dLbl>
              <c:idx val="2"/>
              <c:layout>
                <c:manualLayout>
                  <c:x val="-2.8154116850592409E-2"/>
                  <c:y val="-5.37708552682178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DBC-432B-8AF1-DD6B4610D4BC}"/>
                </c:ext>
              </c:extLst>
            </c:dLbl>
            <c:dLbl>
              <c:idx val="3"/>
              <c:layout>
                <c:manualLayout>
                  <c:x val="-6.1868543497440157E-2"/>
                  <c:y val="-4.32159421853090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DBC-432B-8AF1-DD6B4610D4BC}"/>
                </c:ext>
              </c:extLst>
            </c:dLbl>
            <c:dLbl>
              <c:idx val="4"/>
              <c:layout>
                <c:manualLayout>
                  <c:x val="-6.5993090993960071E-2"/>
                  <c:y val="-4.9480590776607623E-2"/>
                </c:manualLayout>
              </c:layout>
              <c:spPr>
                <a:noFill/>
                <a:ln>
                  <a:noFill/>
                </a:ln>
                <a:effectLst/>
              </c:spPr>
              <c:txPr>
                <a:bodyPr wrap="square" lIns="38100" tIns="19050" rIns="38100" bIns="19050" anchor="ctr">
                  <a:no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15:layout>
                    <c:manualLayout>
                      <c:w val="8.9119661929051325E-2"/>
                      <c:h val="6.2866884608882609E-2"/>
                    </c:manualLayout>
                  </c15:layout>
                </c:ext>
                <c:ext xmlns:c16="http://schemas.microsoft.com/office/drawing/2014/chart" uri="{C3380CC4-5D6E-409C-BE32-E72D297353CC}">
                  <c16:uniqueId val="{00000008-0DBC-432B-8AF1-DD6B4610D4BC}"/>
                </c:ext>
              </c:extLst>
            </c:dLbl>
            <c:dLbl>
              <c:idx val="5"/>
              <c:layout>
                <c:manualLayout>
                  <c:x val="-7.9710463982626517E-2"/>
                  <c:y val="-7.61692343189334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DBC-432B-8AF1-DD6B4610D4BC}"/>
                </c:ext>
              </c:extLst>
            </c:dLbl>
            <c:dLbl>
              <c:idx val="6"/>
              <c:layout>
                <c:manualLayout>
                  <c:x val="-5.023413485969281E-2"/>
                  <c:y val="-4.7508359400280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DBC-432B-8AF1-DD6B4610D4BC}"/>
                </c:ext>
              </c:extLst>
            </c:dLbl>
            <c:dLbl>
              <c:idx val="7"/>
              <c:layout>
                <c:manualLayout>
                  <c:x val="-5.867722494326652E-2"/>
                  <c:y val="-5.51590982634020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DBC-432B-8AF1-DD6B4610D4BC}"/>
                </c:ext>
              </c:extLst>
            </c:dLbl>
            <c:dLbl>
              <c:idx val="8"/>
              <c:layout>
                <c:manualLayout>
                  <c:x val="-5.8700067368602414E-2"/>
                  <c:y val="-5.35557113579980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DBC-432B-8AF1-DD6B4610D4BC}"/>
                </c:ext>
              </c:extLst>
            </c:dLbl>
            <c:dLbl>
              <c:idx val="9"/>
              <c:layout>
                <c:manualLayout>
                  <c:x val="-6.726928736598696E-2"/>
                  <c:y val="4.18555981862573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DBC-432B-8AF1-DD6B4610D4BC}"/>
                </c:ext>
              </c:extLst>
            </c:dLbl>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I</c:v>
                </c:pt>
                <c:pt idx="1">
                  <c:v>II</c:v>
                </c:pt>
                <c:pt idx="2">
                  <c:v>III</c:v>
                </c:pt>
                <c:pt idx="3">
                  <c:v>IV</c:v>
                </c:pt>
                <c:pt idx="4">
                  <c:v>V</c:v>
                </c:pt>
                <c:pt idx="5">
                  <c:v>VI</c:v>
                </c:pt>
              </c:strCache>
            </c:strRef>
          </c:cat>
          <c:val>
            <c:numRef>
              <c:f>Sheet1!$B$2:$G$2</c:f>
              <c:numCache>
                <c:formatCode>0.0</c:formatCode>
                <c:ptCount val="6"/>
                <c:pt idx="0">
                  <c:v>6.9089328253228786</c:v>
                </c:pt>
                <c:pt idx="1">
                  <c:v>6.9959302226632474</c:v>
                </c:pt>
                <c:pt idx="2">
                  <c:v>6.5919067911092526</c:v>
                </c:pt>
                <c:pt idx="3">
                  <c:v>7.10041907376295</c:v>
                </c:pt>
                <c:pt idx="4">
                  <c:v>11.700000000000003</c:v>
                </c:pt>
                <c:pt idx="5">
                  <c:v>7.7000000000000028</c:v>
                </c:pt>
              </c:numCache>
            </c:numRef>
          </c:val>
          <c:smooth val="0"/>
          <c:extLst>
            <c:ext xmlns:c16="http://schemas.microsoft.com/office/drawing/2014/chart" uri="{C3380CC4-5D6E-409C-BE32-E72D297353CC}">
              <c16:uniqueId val="{0000000E-0DBC-432B-8AF1-DD6B4610D4BC}"/>
            </c:ext>
          </c:extLst>
        </c:ser>
        <c:dLbls>
          <c:showLegendKey val="0"/>
          <c:showVal val="0"/>
          <c:showCatName val="0"/>
          <c:showSerName val="0"/>
          <c:showPercent val="0"/>
          <c:showBubbleSize val="0"/>
        </c:dLbls>
        <c:marker val="1"/>
        <c:smooth val="0"/>
        <c:axId val="526525440"/>
        <c:axId val="539976256"/>
      </c:lineChart>
      <c:catAx>
        <c:axId val="52652441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39963904"/>
        <c:crosses val="autoZero"/>
        <c:auto val="1"/>
        <c:lblAlgn val="ctr"/>
        <c:lblOffset val="100"/>
        <c:noMultiLvlLbl val="0"/>
      </c:catAx>
      <c:valAx>
        <c:axId val="539963904"/>
        <c:scaling>
          <c:orientation val="minMax"/>
          <c:max val="30"/>
          <c:min val="-1"/>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26524416"/>
        <c:crosses val="autoZero"/>
        <c:crossBetween val="between"/>
        <c:majorUnit val="4"/>
      </c:valAx>
      <c:valAx>
        <c:axId val="539976256"/>
        <c:scaling>
          <c:orientation val="minMax"/>
        </c:scaling>
        <c:delete val="0"/>
        <c:axPos val="r"/>
        <c:numFmt formatCode="0.0" sourceLinked="1"/>
        <c:majorTickMark val="out"/>
        <c:minorTickMark val="none"/>
        <c:tickLblPos val="nextTo"/>
        <c:crossAx val="526525440"/>
        <c:crosses val="max"/>
        <c:crossBetween val="between"/>
        <c:majorUnit val="2"/>
      </c:valAx>
      <c:catAx>
        <c:axId val="526525440"/>
        <c:scaling>
          <c:orientation val="minMax"/>
        </c:scaling>
        <c:delete val="1"/>
        <c:axPos val="b"/>
        <c:numFmt formatCode="General" sourceLinked="1"/>
        <c:majorTickMark val="out"/>
        <c:minorTickMark val="none"/>
        <c:tickLblPos val="nextTo"/>
        <c:crossAx val="539976256"/>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499110304083E-2"/>
          <c:y val="0.82207061073887511"/>
          <c:w val="0.92687606666201161"/>
          <c:h val="0.1511044336875490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526418699605341"/>
        </c:manualLayout>
      </c:layout>
      <c:barChart>
        <c:barDir val="col"/>
        <c:grouping val="stacked"/>
        <c:varyColors val="0"/>
        <c:ser>
          <c:idx val="1"/>
          <c:order val="1"/>
          <c:tx>
            <c:strRef>
              <c:f>Sheet1!$A$3</c:f>
              <c:strCache>
                <c:ptCount val="1"/>
                <c:pt idx="0">
                  <c:v>արդյունաբերություն</c:v>
                </c:pt>
              </c:strCache>
            </c:strRef>
          </c:tx>
          <c:spPr>
            <a:solidFill>
              <a:sysClr val="window" lastClr="FFFFFF">
                <a:lumMod val="75000"/>
              </a:sysClr>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Sheet1!$B$3:$G$3</c:f>
              <c:numCache>
                <c:formatCode>0.0</c:formatCode>
                <c:ptCount val="6"/>
                <c:pt idx="0">
                  <c:v>1.8369893116734408</c:v>
                </c:pt>
                <c:pt idx="1">
                  <c:v>2.9807751095078494</c:v>
                </c:pt>
                <c:pt idx="2">
                  <c:v>2.3222317713607672</c:v>
                </c:pt>
                <c:pt idx="3">
                  <c:v>2.2529114199768627</c:v>
                </c:pt>
                <c:pt idx="4">
                  <c:v>2.114270717209056</c:v>
                </c:pt>
                <c:pt idx="5">
                  <c:v>1.871649487365393</c:v>
                </c:pt>
              </c:numCache>
            </c:numRef>
          </c:val>
          <c:extLst>
            <c:ext xmlns:c16="http://schemas.microsoft.com/office/drawing/2014/chart" uri="{C3380CC4-5D6E-409C-BE32-E72D297353CC}">
              <c16:uniqueId val="{00000000-A91E-48F6-A6FD-5ED164E05A1D}"/>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Sheet1!$B$4:$G$4</c:f>
              <c:numCache>
                <c:formatCode>General</c:formatCode>
                <c:ptCount val="6"/>
                <c:pt idx="2" formatCode="0.0">
                  <c:v>-0.43372753273107506</c:v>
                </c:pt>
                <c:pt idx="5" formatCode="0.0">
                  <c:v>-0.99256877682688327</c:v>
                </c:pt>
              </c:numCache>
            </c:numRef>
          </c:val>
          <c:extLst>
            <c:ext xmlns:c16="http://schemas.microsoft.com/office/drawing/2014/chart" uri="{C3380CC4-5D6E-409C-BE32-E72D297353CC}">
              <c16:uniqueId val="{00000001-A91E-48F6-A6FD-5ED164E05A1D}"/>
            </c:ext>
          </c:extLst>
        </c:ser>
        <c:ser>
          <c:idx val="3"/>
          <c:order val="3"/>
          <c:tx>
            <c:strRef>
              <c:f>Sheet1!$A$5</c:f>
              <c:strCache>
                <c:ptCount val="1"/>
                <c:pt idx="0">
                  <c:v>շինարարություն</c:v>
                </c:pt>
              </c:strCache>
            </c:strRef>
          </c:tx>
          <c:spPr>
            <a:solidFill>
              <a:srgbClr val="1F497D">
                <a:lumMod val="60000"/>
                <a:lumOff val="40000"/>
              </a:srgbClr>
            </a:solidFill>
            <a:ln>
              <a:noFill/>
            </a:ln>
            <a:effectLst/>
          </c:spPr>
          <c:invertIfNegative val="0"/>
          <c:cat>
            <c:strRef>
              <c:f>Sheet1!$B$1:$G$1</c:f>
              <c:strCache>
                <c:ptCount val="6"/>
                <c:pt idx="0">
                  <c:v>I</c:v>
                </c:pt>
                <c:pt idx="1">
                  <c:v>I-II</c:v>
                </c:pt>
                <c:pt idx="2">
                  <c:v>I-III</c:v>
                </c:pt>
                <c:pt idx="3">
                  <c:v>I-IV</c:v>
                </c:pt>
                <c:pt idx="4">
                  <c:v>I-V</c:v>
                </c:pt>
                <c:pt idx="5">
                  <c:v>I-VI</c:v>
                </c:pt>
              </c:strCache>
            </c:strRef>
          </c:cat>
          <c:val>
            <c:numRef>
              <c:f>Sheet1!$B$5:$G$5</c:f>
              <c:numCache>
                <c:formatCode>0.0</c:formatCode>
                <c:ptCount val="6"/>
                <c:pt idx="0">
                  <c:v>1.3303139394456491</c:v>
                </c:pt>
                <c:pt idx="1">
                  <c:v>1.4583655485901499</c:v>
                </c:pt>
                <c:pt idx="2">
                  <c:v>1.5650752228772342</c:v>
                </c:pt>
                <c:pt idx="3">
                  <c:v>1.629101027449485</c:v>
                </c:pt>
                <c:pt idx="4">
                  <c:v>1.7144687668791516</c:v>
                </c:pt>
                <c:pt idx="5">
                  <c:v>1.7429246800223743</c:v>
                </c:pt>
              </c:numCache>
            </c:numRef>
          </c:val>
          <c:extLst>
            <c:ext xmlns:c16="http://schemas.microsoft.com/office/drawing/2014/chart" uri="{C3380CC4-5D6E-409C-BE32-E72D297353CC}">
              <c16:uniqueId val="{00000002-A91E-48F6-A6FD-5ED164E05A1D}"/>
            </c:ext>
          </c:extLst>
        </c:ser>
        <c:ser>
          <c:idx val="4"/>
          <c:order val="4"/>
          <c:tx>
            <c:strRef>
              <c:f>Sheet1!$A$6</c:f>
              <c:strCache>
                <c:ptCount val="1"/>
                <c:pt idx="0">
                  <c:v>ծառայություններ</c:v>
                </c:pt>
              </c:strCache>
            </c:strRef>
          </c:tx>
          <c:spPr>
            <a:solidFill>
              <a:srgbClr val="4F81BD">
                <a:lumMod val="75000"/>
              </a:srgbClr>
            </a:solidFill>
            <a:ln>
              <a:noFill/>
            </a:ln>
          </c:spPr>
          <c:invertIfNegative val="0"/>
          <c:cat>
            <c:strRef>
              <c:f>Sheet1!$B$1:$G$1</c:f>
              <c:strCache>
                <c:ptCount val="6"/>
                <c:pt idx="0">
                  <c:v>I</c:v>
                </c:pt>
                <c:pt idx="1">
                  <c:v>I-II</c:v>
                </c:pt>
                <c:pt idx="2">
                  <c:v>I-III</c:v>
                </c:pt>
                <c:pt idx="3">
                  <c:v>I-IV</c:v>
                </c:pt>
                <c:pt idx="4">
                  <c:v>I-V</c:v>
                </c:pt>
                <c:pt idx="5">
                  <c:v>I-VI</c:v>
                </c:pt>
              </c:strCache>
            </c:strRef>
          </c:cat>
          <c:val>
            <c:numRef>
              <c:f>Sheet1!$B$6:$G$6</c:f>
              <c:numCache>
                <c:formatCode>0.0</c:formatCode>
                <c:ptCount val="6"/>
                <c:pt idx="0">
                  <c:v>3.2014108022505572</c:v>
                </c:pt>
                <c:pt idx="1">
                  <c:v>3.2783257158561114</c:v>
                </c:pt>
                <c:pt idx="2">
                  <c:v>3.6196771824017979</c:v>
                </c:pt>
                <c:pt idx="3">
                  <c:v>3.9093376213437554</c:v>
                </c:pt>
                <c:pt idx="4">
                  <c:v>4.6988448871742001</c:v>
                </c:pt>
                <c:pt idx="5">
                  <c:v>5.6799223910896961</c:v>
                </c:pt>
              </c:numCache>
            </c:numRef>
          </c:val>
          <c:extLst>
            <c:ext xmlns:c16="http://schemas.microsoft.com/office/drawing/2014/chart" uri="{C3380CC4-5D6E-409C-BE32-E72D297353CC}">
              <c16:uniqueId val="{00000003-A91E-48F6-A6FD-5ED164E05A1D}"/>
            </c:ext>
          </c:extLst>
        </c:ser>
        <c:ser>
          <c:idx val="5"/>
          <c:order val="5"/>
          <c:tx>
            <c:strRef>
              <c:f>Sheet1!$A$7</c:f>
              <c:strCache>
                <c:ptCount val="1"/>
                <c:pt idx="0">
                  <c:v>առևտուր</c:v>
                </c:pt>
              </c:strCache>
            </c:strRef>
          </c:tx>
          <c:spPr>
            <a:solidFill>
              <a:srgbClr val="F79646"/>
            </a:solidFill>
          </c:spPr>
          <c:invertIfNegative val="0"/>
          <c:cat>
            <c:strRef>
              <c:f>Sheet1!$B$1:$G$1</c:f>
              <c:strCache>
                <c:ptCount val="6"/>
                <c:pt idx="0">
                  <c:v>I</c:v>
                </c:pt>
                <c:pt idx="1">
                  <c:v>I-II</c:v>
                </c:pt>
                <c:pt idx="2">
                  <c:v>I-III</c:v>
                </c:pt>
                <c:pt idx="3">
                  <c:v>I-IV</c:v>
                </c:pt>
                <c:pt idx="4">
                  <c:v>I-V</c:v>
                </c:pt>
                <c:pt idx="5">
                  <c:v>I-VI</c:v>
                </c:pt>
              </c:strCache>
            </c:strRef>
          </c:cat>
          <c:val>
            <c:numRef>
              <c:f>Sheet1!$B$7:$G$7</c:f>
              <c:numCache>
                <c:formatCode>0.0</c:formatCode>
                <c:ptCount val="6"/>
                <c:pt idx="0">
                  <c:v>0.10905553173494664</c:v>
                </c:pt>
                <c:pt idx="1">
                  <c:v>0.51411893532188879</c:v>
                </c:pt>
                <c:pt idx="2">
                  <c:v>0.32716659520483771</c:v>
                </c:pt>
                <c:pt idx="3">
                  <c:v>0.23369042514631327</c:v>
                </c:pt>
                <c:pt idx="4">
                  <c:v>0.18695234011705109</c:v>
                </c:pt>
                <c:pt idx="5">
                  <c:v>0.14021425508778887</c:v>
                </c:pt>
              </c:numCache>
            </c:numRef>
          </c:val>
          <c:extLst>
            <c:ext xmlns:c16="http://schemas.microsoft.com/office/drawing/2014/chart" uri="{C3380CC4-5D6E-409C-BE32-E72D297353CC}">
              <c16:uniqueId val="{00000004-A91E-48F6-A6FD-5ED164E05A1D}"/>
            </c:ext>
          </c:extLst>
        </c:ser>
        <c:ser>
          <c:idx val="6"/>
          <c:order val="6"/>
          <c:tx>
            <c:strRef>
              <c:f>Sheet1!$A$8</c:f>
              <c:strCache>
                <c:ptCount val="1"/>
                <c:pt idx="0">
                  <c:v>այլ </c:v>
                </c:pt>
              </c:strCache>
            </c:strRef>
          </c:tx>
          <c:spPr>
            <a:solidFill>
              <a:srgbClr val="4F81BD">
                <a:lumMod val="60000"/>
                <a:lumOff val="40000"/>
              </a:srgbClr>
            </a:solidFill>
          </c:spPr>
          <c:invertIfNegative val="0"/>
          <c:cat>
            <c:strRef>
              <c:f>Sheet1!$B$1:$G$1</c:f>
              <c:strCache>
                <c:ptCount val="6"/>
                <c:pt idx="0">
                  <c:v>I</c:v>
                </c:pt>
                <c:pt idx="1">
                  <c:v>I-II</c:v>
                </c:pt>
                <c:pt idx="2">
                  <c:v>I-III</c:v>
                </c:pt>
                <c:pt idx="3">
                  <c:v>I-IV</c:v>
                </c:pt>
                <c:pt idx="4">
                  <c:v>I-V</c:v>
                </c:pt>
                <c:pt idx="5">
                  <c:v>I-VI</c:v>
                </c:pt>
              </c:strCache>
            </c:strRef>
          </c:cat>
          <c:val>
            <c:numRef>
              <c:f>Sheet1!$B$8:$G$8</c:f>
              <c:numCache>
                <c:formatCode>0.0</c:formatCode>
                <c:ptCount val="6"/>
                <c:pt idx="0">
                  <c:v>0.43116324021828478</c:v>
                </c:pt>
                <c:pt idx="1">
                  <c:v>-1.2781342577315655</c:v>
                </c:pt>
                <c:pt idx="2">
                  <c:v>-0.57892720825473787</c:v>
                </c:pt>
                <c:pt idx="3">
                  <c:v>-1.1260011893619104</c:v>
                </c:pt>
                <c:pt idx="4">
                  <c:v>-0.71453671137945862</c:v>
                </c:pt>
                <c:pt idx="5">
                  <c:v>-0.54214203673836303</c:v>
                </c:pt>
              </c:numCache>
            </c:numRef>
          </c:val>
          <c:extLst>
            <c:ext xmlns:c16="http://schemas.microsoft.com/office/drawing/2014/chart" uri="{C3380CC4-5D6E-409C-BE32-E72D297353CC}">
              <c16:uniqueId val="{00000005-A91E-48F6-A6FD-5ED164E05A1D}"/>
            </c:ext>
          </c:extLst>
        </c:ser>
        <c:dLbls>
          <c:showLegendKey val="0"/>
          <c:showVal val="0"/>
          <c:showCatName val="0"/>
          <c:showSerName val="0"/>
          <c:showPercent val="0"/>
          <c:showBubbleSize val="0"/>
        </c:dLbls>
        <c:gapWidth val="150"/>
        <c:overlap val="100"/>
        <c:axId val="526518784"/>
        <c:axId val="539966784"/>
      </c:barChart>
      <c:lineChart>
        <c:grouping val="standard"/>
        <c:varyColors val="0"/>
        <c:ser>
          <c:idx val="0"/>
          <c:order val="0"/>
          <c:tx>
            <c:strRef>
              <c:f>Sheet1!$A$2</c:f>
              <c:strCache>
                <c:ptCount val="1"/>
                <c:pt idx="0">
                  <c:v>ՏԱՑ</c:v>
                </c:pt>
              </c:strCache>
            </c:strRef>
          </c:tx>
          <c:spPr>
            <a:effectLst/>
          </c:spPr>
          <c:dLbls>
            <c:dLbl>
              <c:idx val="0"/>
              <c:layout>
                <c:manualLayout>
                  <c:x val="-5.3312982031092304E-2"/>
                  <c:y val="-5.22904636920385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91E-48F6-A6FD-5ED164E05A1D}"/>
                </c:ext>
              </c:extLst>
            </c:dLbl>
            <c:dLbl>
              <c:idx val="1"/>
              <c:layout>
                <c:manualLayout>
                  <c:x val="-5.9220674338784578E-2"/>
                  <c:y val="-8.64784978800726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91E-48F6-A6FD-5ED164E05A1D}"/>
                </c:ext>
              </c:extLst>
            </c:dLbl>
            <c:dLbl>
              <c:idx val="2"/>
              <c:layout>
                <c:manualLayout>
                  <c:x val="-5.2820674338784727E-2"/>
                  <c:y val="-6.59656773672521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91E-48F6-A6FD-5ED164E05A1D}"/>
                </c:ext>
              </c:extLst>
            </c:dLbl>
            <c:dLbl>
              <c:idx val="3"/>
              <c:layout>
                <c:manualLayout>
                  <c:x val="-6.5128366646476879E-2"/>
                  <c:y val="-5.9128070529645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91E-48F6-A6FD-5ED164E05A1D}"/>
                </c:ext>
              </c:extLst>
            </c:dLbl>
            <c:dLbl>
              <c:idx val="4"/>
              <c:layout>
                <c:manualLayout>
                  <c:x val="-6.1702564102564104E-2"/>
                  <c:y val="-4.54528568544316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91E-48F6-A6FD-5ED164E05A1D}"/>
                </c:ext>
              </c:extLst>
            </c:dLbl>
            <c:dLbl>
              <c:idx val="5"/>
              <c:layout>
                <c:manualLayout>
                  <c:x val="-6.4174439733494848E-2"/>
                  <c:y val="-5.22904636920384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91E-48F6-A6FD-5ED164E05A1D}"/>
                </c:ext>
              </c:extLst>
            </c:dLbl>
            <c:dLbl>
              <c:idx val="6"/>
              <c:layout>
                <c:manualLayout>
                  <c:x val="-5.7025641025641026E-2"/>
                  <c:y val="-5.9128070529645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91E-48F6-A6FD-5ED164E05A1D}"/>
                </c:ext>
              </c:extLst>
            </c:dLbl>
            <c:dLbl>
              <c:idx val="7"/>
              <c:layout>
                <c:manualLayout>
                  <c:x val="-6.5159055118110237E-2"/>
                  <c:y val="-5.22904636920384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91E-48F6-A6FD-5ED164E05A1D}"/>
                </c:ext>
              </c:extLst>
            </c:dLbl>
            <c:dLbl>
              <c:idx val="8"/>
              <c:layout>
                <c:manualLayout>
                  <c:x val="-4.6633878457500506E-2"/>
                  <c:y val="-5.912807052964533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91E-48F6-A6FD-5ED164E05A1D}"/>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Sheet1!$B$1:$G$1</c:f>
              <c:strCache>
                <c:ptCount val="6"/>
                <c:pt idx="0">
                  <c:v>I</c:v>
                </c:pt>
                <c:pt idx="1">
                  <c:v>I-II</c:v>
                </c:pt>
                <c:pt idx="2">
                  <c:v>I-III</c:v>
                </c:pt>
                <c:pt idx="3">
                  <c:v>I-IV</c:v>
                </c:pt>
                <c:pt idx="4">
                  <c:v>I-V</c:v>
                </c:pt>
                <c:pt idx="5">
                  <c:v>I-VI</c:v>
                </c:pt>
              </c:strCache>
            </c:strRef>
          </c:cat>
          <c:val>
            <c:numRef>
              <c:f>Sheet1!$B$2:$G$2</c:f>
              <c:numCache>
                <c:formatCode>0.0</c:formatCode>
                <c:ptCount val="6"/>
                <c:pt idx="0">
                  <c:v>6.9089328253228786</c:v>
                </c:pt>
                <c:pt idx="1">
                  <c:v>6.9534510515444339</c:v>
                </c:pt>
                <c:pt idx="2">
                  <c:v>6.8214960308588246</c:v>
                </c:pt>
                <c:pt idx="3">
                  <c:v>6.8990393045545062</c:v>
                </c:pt>
                <c:pt idx="4">
                  <c:v>8</c:v>
                </c:pt>
                <c:pt idx="5">
                  <c:v>7.9000000000000057</c:v>
                </c:pt>
              </c:numCache>
            </c:numRef>
          </c:val>
          <c:smooth val="0"/>
          <c:extLst>
            <c:ext xmlns:c16="http://schemas.microsoft.com/office/drawing/2014/chart" uri="{C3380CC4-5D6E-409C-BE32-E72D297353CC}">
              <c16:uniqueId val="{0000000F-A91E-48F6-A6FD-5ED164E05A1D}"/>
            </c:ext>
          </c:extLst>
        </c:ser>
        <c:dLbls>
          <c:showLegendKey val="0"/>
          <c:showVal val="0"/>
          <c:showCatName val="0"/>
          <c:showSerName val="0"/>
          <c:showPercent val="0"/>
          <c:showBubbleSize val="0"/>
        </c:dLbls>
        <c:marker val="1"/>
        <c:smooth val="0"/>
        <c:axId val="526518784"/>
        <c:axId val="539966784"/>
      </c:lineChart>
      <c:catAx>
        <c:axId val="5265187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39966784"/>
        <c:crosses val="autoZero"/>
        <c:auto val="1"/>
        <c:lblAlgn val="ctr"/>
        <c:lblOffset val="100"/>
        <c:noMultiLvlLbl val="0"/>
      </c:catAx>
      <c:valAx>
        <c:axId val="539966784"/>
        <c:scaling>
          <c:orientation val="minMax"/>
          <c:max val="10"/>
          <c:min val="-2"/>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26518784"/>
        <c:crosses val="autoZero"/>
        <c:crossBetween val="between"/>
        <c:majorUnit val="2"/>
      </c:valAx>
      <c:spPr>
        <a:solidFill>
          <a:sysClr val="window" lastClr="FFFFFF"/>
        </a:solidFill>
        <a:ln>
          <a:noFill/>
        </a:ln>
        <a:effectLst/>
      </c:spPr>
    </c:plotArea>
    <c:legend>
      <c:legendPos val="b"/>
      <c:layout>
        <c:manualLayout>
          <c:xMode val="edge"/>
          <c:yMode val="edge"/>
          <c:x val="3.9212759943468602E-2"/>
          <c:y val="0.73645171276667332"/>
          <c:w val="0.93458477517078753"/>
          <c:h val="0.22936017728322886"/>
        </c:manualLayout>
      </c:layout>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06C6DF-4631-45D7-88AA-59C1BA0C2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19</Pages>
  <Words>5097</Words>
  <Characters>29057</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Հ Ա Շ Վ Ե Տ Վ ՈՒ Թ Յ ՈՒ Ն</vt:lpstr>
    </vt:vector>
  </TitlesOfParts>
  <Company>Microsoft</Company>
  <LinksUpToDate>false</LinksUpToDate>
  <CharactersWithSpaces>34086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Հ Ա Շ Վ Ե Տ Վ ՈՒ Թ Յ ՈՒ Ն</dc:title>
  <dc:subject/>
  <dc:creator>Emma Ghaytanjyan</dc:creator>
  <cp:keywords/>
  <dc:description/>
  <cp:lastModifiedBy>Emma Ghaytanjyan</cp:lastModifiedBy>
  <cp:revision>18</cp:revision>
  <cp:lastPrinted>2023-04-10T12:07:00Z</cp:lastPrinted>
  <dcterms:created xsi:type="dcterms:W3CDTF">2026-08-06T12:07:00Z</dcterms:created>
  <dcterms:modified xsi:type="dcterms:W3CDTF">2026-08-07T10:28:00Z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f60faef533a742f60f8302e7ad3703680437d24b7a5222c50f5626b87ec935f2</vt:lpwstr>
  </property>
</Properties>
</file>